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Building the Elan Cap Table Agents</w:t>
      </w:r>
    </w:p>
    <w:p>
      <w:r>
        <w:t>A practical guide for developers new to cap tables</w:t>
        <w:br/>
        <w:t>OCE developers backend developers and Ria</w:t>
        <w:br/>
        <w:t>Version 2.1  |  1 November 2026</w:t>
      </w:r>
    </w:p>
    <w:p>
      <w:pPr>
        <w:pStyle w:val="Heading2"/>
      </w:pPr>
      <w:r>
        <w:t>Cap table terminology and calculation reference</w:t>
      </w:r>
    </w:p>
    <w:p>
      <w:r>
        <w:t>Start here if cap tables are new to you. The following reference explains 252 terms and related concepts used in this product. Each table pairs a plain-English meaning with a comment showing where the term enters a calculation, eligibility check or recorded business process.</w:t>
      </w:r>
    </w:p>
    <w:p>
      <w:r>
        <w:t>Read by topic or look up an unfamiliar term. A term appearing here does not mean its calculation is already implemented. The governing agreement and selected calculation module determine the exact rule. New bespoke clauses must be added to the dictionary rather than silently treated as familiar terms.</w:t>
      </w:r>
    </w:p>
    <w:p>
      <w:r>
        <w:t>Definitions use the applicable company agreements and financial standards. Reference entry points include Open Cap Format, YC SAFE documents, NVCA model documents and IRS guidance; their URLs are listed in cap_table_terminology.json.</w:t>
      </w:r>
    </w:p>
    <w:p>
      <w:pPr>
        <w:pStyle w:val="Heading2"/>
      </w:pPr>
      <w:r>
        <w:t>Topics in the reference</w:t>
      </w:r>
    </w:p>
    <w:p>
      <w:r>
        <w:t>T1 Companies investors and ownership records  /  T2 Share balances and ownership measurements  /  T3 Share classes and changes in ownership</w:t>
      </w:r>
    </w:p>
    <w:p>
      <w:r>
        <w:t>T4 Valuation pricing and financing amounts  /  T5 Closes commitments and financing structure  /  T6 SAFEs and other convertible agreements</w:t>
      </w:r>
    </w:p>
    <w:p>
      <w:r>
        <w:t>T7 Conversion calculations and lifecycle states  /  T8 Loan balances rates and payments  /  T9 Interest calendars and date conventions</w:t>
      </w:r>
    </w:p>
    <w:p>
      <w:r>
        <w:t>T10 Employee grants and vesting  /  T11 Award types exercise and settlement  /  T12 Pool capacity terminations and award changes</w:t>
      </w:r>
    </w:p>
    <w:p>
      <w:r>
        <w:t>T13 Preferences and sale participation  /  T14 Dividends redemption and related equity claims  /  T15 Waterfall inputs proceeds and outputs</w:t>
      </w:r>
    </w:p>
    <w:p>
      <w:r>
        <w:t>T16 Financing participation and downside protection  /  T17 Voting control and required approvals  /  T18 Transfers reorganizations and lifecycle events</w:t>
      </w:r>
    </w:p>
    <w:p>
      <w:r>
        <w:t>T19 Valuation tax and accounting interfaces  /  T20 International structures and unusual instruments  /  T21 Data calculation and agent terminology</w:t>
      </w:r>
    </w:p>
    <w:p>
      <w:r>
        <w:t>The three columns are Term, What it means, and Where it is used in calculations or checks. Terms such as consent or source evidence usually control which calculations or changes are permitted rather than supplying a number to a formula. The step-by-step build guide follows the tables.</w:t>
      </w:r>
    </w:p>
    <w:p>
      <w:r>
        <w:br w:type="page"/>
      </w:r>
    </w:p>
    <w:p>
      <w:pPr>
        <w:pStyle w:val="Heading1"/>
      </w:pPr>
      <w:r>
        <w:t>T1 Companies investors and ownership records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Capitalization table or cap table</w:t>
            </w:r>
          </w:p>
        </w:tc>
        <w:tc>
          <w:tcPr>
            <w:tcW w:type="dxa" w:w="3816"/>
          </w:tcPr>
          <w:p>
            <w:pPr>
              <w:spacing w:after="80" w:before="60"/>
            </w:pPr>
            <w:r>
              <w:rPr>
                <w:sz w:val="19"/>
              </w:rPr>
              <w:t>The record of company ownership, investment agreements and awards that may become ownership.</w:t>
            </w:r>
          </w:p>
        </w:tc>
        <w:tc>
          <w:tcPr>
            <w:tcW w:type="dxa" w:w="4248"/>
          </w:tcPr>
          <w:p>
            <w:pPr>
              <w:spacing w:after="80" w:before="60"/>
            </w:pPr>
            <w:r>
              <w:rPr>
                <w:sz w:val="19"/>
              </w:rPr>
              <w:t>Foundation for ownership, dilution, voting and sale-payout analysis.</w:t>
            </w:r>
          </w:p>
        </w:tc>
      </w:tr>
      <w:tr>
        <w:trPr>
          <w:cantSplit/>
        </w:trPr>
        <w:tc>
          <w:tcPr>
            <w:tcW w:type="dxa" w:w="2160"/>
          </w:tcPr>
          <w:p>
            <w:pPr>
              <w:spacing w:after="80" w:before="60"/>
            </w:pPr>
            <w:r>
              <w:rPr>
                <w:sz w:val="19"/>
              </w:rPr>
              <w:t>Issuer</w:t>
            </w:r>
          </w:p>
        </w:tc>
        <w:tc>
          <w:tcPr>
            <w:tcW w:type="dxa" w:w="3816"/>
          </w:tcPr>
          <w:p>
            <w:pPr>
              <w:spacing w:after="80" w:before="60"/>
            </w:pPr>
            <w:r>
              <w:rPr>
                <w:sz w:val="19"/>
              </w:rPr>
              <w:t>The company or entity that issues a share, loan instrument or investment agreement.</w:t>
            </w:r>
          </w:p>
        </w:tc>
        <w:tc>
          <w:tcPr>
            <w:tcW w:type="dxa" w:w="4248"/>
          </w:tcPr>
          <w:p>
            <w:pPr>
              <w:spacing w:after="80" w:before="60"/>
            </w:pPr>
            <w:r>
              <w:rPr>
                <w:sz w:val="19"/>
              </w:rPr>
              <w:t>Select only records of the relevant issuer for a calculation; never mix parent and subsidiary ownership.</w:t>
            </w:r>
          </w:p>
        </w:tc>
      </w:tr>
      <w:tr>
        <w:trPr>
          <w:cantSplit/>
        </w:trPr>
        <w:tc>
          <w:tcPr>
            <w:tcW w:type="dxa" w:w="2160"/>
          </w:tcPr>
          <w:p>
            <w:pPr>
              <w:spacing w:after="80" w:before="60"/>
            </w:pPr>
            <w:r>
              <w:rPr>
                <w:sz w:val="19"/>
              </w:rPr>
              <w:t>Shareholder or stockholder</w:t>
            </w:r>
          </w:p>
        </w:tc>
        <w:tc>
          <w:tcPr>
            <w:tcW w:type="dxa" w:w="3816"/>
          </w:tcPr>
          <w:p>
            <w:pPr>
              <w:spacing w:after="80" w:before="60"/>
            </w:pPr>
            <w:r>
              <w:rPr>
                <w:sz w:val="19"/>
              </w:rPr>
              <w:t>The legal holder of issued shares.</w:t>
            </w:r>
          </w:p>
        </w:tc>
        <w:tc>
          <w:tcPr>
            <w:tcW w:type="dxa" w:w="4248"/>
          </w:tcPr>
          <w:p>
            <w:pPr>
              <w:spacing w:after="80" w:before="60"/>
            </w:pPr>
            <w:r>
              <w:rPr>
                <w:sz w:val="19"/>
              </w:rPr>
              <w:t>Groups share quantities, votes and permitted payouts by holder.</w:t>
            </w:r>
          </w:p>
        </w:tc>
      </w:tr>
      <w:tr>
        <w:trPr>
          <w:cantSplit/>
        </w:trPr>
        <w:tc>
          <w:tcPr>
            <w:tcW w:type="dxa" w:w="2160"/>
          </w:tcPr>
          <w:p>
            <w:pPr>
              <w:spacing w:after="80" w:before="60"/>
            </w:pPr>
            <w:r>
              <w:rPr>
                <w:sz w:val="19"/>
              </w:rPr>
              <w:t>Investor</w:t>
            </w:r>
          </w:p>
        </w:tc>
        <w:tc>
          <w:tcPr>
            <w:tcW w:type="dxa" w:w="3816"/>
          </w:tcPr>
          <w:p>
            <w:pPr>
              <w:spacing w:after="80" w:before="60"/>
            </w:pPr>
            <w:r>
              <w:rPr>
                <w:sz w:val="19"/>
              </w:rPr>
              <w:t>A person or entity providing money or other agreed investment consideration.</w:t>
            </w:r>
          </w:p>
        </w:tc>
        <w:tc>
          <w:tcPr>
            <w:tcW w:type="dxa" w:w="4248"/>
          </w:tcPr>
          <w:p>
            <w:pPr>
              <w:spacing w:after="80" w:before="60"/>
            </w:pPr>
            <w:r>
              <w:rPr>
                <w:sz w:val="19"/>
              </w:rPr>
              <w:t>An investor may hold several instruments; aggregate results without merging their terms.</w:t>
            </w:r>
          </w:p>
        </w:tc>
      </w:tr>
      <w:tr>
        <w:trPr>
          <w:cantSplit/>
        </w:trPr>
        <w:tc>
          <w:tcPr>
            <w:tcW w:type="dxa" w:w="2160"/>
          </w:tcPr>
          <w:p>
            <w:pPr>
              <w:spacing w:after="80" w:before="60"/>
            </w:pPr>
            <w:r>
              <w:rPr>
                <w:sz w:val="19"/>
              </w:rPr>
              <w:t>Legal holder or record holder</w:t>
            </w:r>
          </w:p>
        </w:tc>
        <w:tc>
          <w:tcPr>
            <w:tcW w:type="dxa" w:w="3816"/>
          </w:tcPr>
          <w:p>
            <w:pPr>
              <w:spacing w:after="80" w:before="60"/>
            </w:pPr>
            <w:r>
              <w:rPr>
                <w:sz w:val="19"/>
              </w:rPr>
              <w:t>The owner named in the official company ownership records.</w:t>
            </w:r>
          </w:p>
        </w:tc>
        <w:tc>
          <w:tcPr>
            <w:tcW w:type="dxa" w:w="4248"/>
          </w:tcPr>
          <w:p>
            <w:pPr>
              <w:spacing w:after="80" w:before="60"/>
            </w:pPr>
            <w:r>
              <w:rPr>
                <w:sz w:val="19"/>
              </w:rPr>
              <w:t>Determines the holder to which recorded shares, notices and payments attach.</w:t>
            </w:r>
          </w:p>
        </w:tc>
      </w:tr>
      <w:tr>
        <w:trPr>
          <w:cantSplit/>
        </w:trPr>
        <w:tc>
          <w:tcPr>
            <w:tcW w:type="dxa" w:w="2160"/>
          </w:tcPr>
          <w:p>
            <w:pPr>
              <w:spacing w:after="80" w:before="60"/>
            </w:pPr>
            <w:r>
              <w:rPr>
                <w:sz w:val="19"/>
              </w:rPr>
              <w:t>Beneficial owner</w:t>
            </w:r>
          </w:p>
        </w:tc>
        <w:tc>
          <w:tcPr>
            <w:tcW w:type="dxa" w:w="3816"/>
          </w:tcPr>
          <w:p>
            <w:pPr>
              <w:spacing w:after="80" w:before="60"/>
            </w:pPr>
            <w:r>
              <w:rPr>
                <w:sz w:val="19"/>
              </w:rPr>
              <w:t>A person or entity with an underlying ownership or economic interest behind the recorded holder.</w:t>
            </w:r>
          </w:p>
        </w:tc>
        <w:tc>
          <w:tcPr>
            <w:tcW w:type="dxa" w:w="4248"/>
          </w:tcPr>
          <w:p>
            <w:pPr>
              <w:spacing w:after="80" w:before="60"/>
            </w:pPr>
            <w:r>
              <w:rPr>
                <w:sz w:val="19"/>
              </w:rPr>
              <w:t>Used for authorized look-through reports; do not add indirect interests to direct shares again.</w:t>
            </w:r>
          </w:p>
        </w:tc>
      </w:tr>
      <w:tr>
        <w:trPr>
          <w:cantSplit/>
        </w:trPr>
        <w:tc>
          <w:tcPr>
            <w:tcW w:type="dxa" w:w="2160"/>
          </w:tcPr>
          <w:p>
            <w:pPr>
              <w:spacing w:after="80" w:before="60"/>
            </w:pPr>
            <w:r>
              <w:rPr>
                <w:sz w:val="19"/>
              </w:rPr>
              <w:t>Nominee or custodian</w:t>
            </w:r>
          </w:p>
        </w:tc>
        <w:tc>
          <w:tcPr>
            <w:tcW w:type="dxa" w:w="3816"/>
          </w:tcPr>
          <w:p>
            <w:pPr>
              <w:spacing w:after="80" w:before="60"/>
            </w:pPr>
            <w:r>
              <w:rPr>
                <w:sz w:val="19"/>
              </w:rPr>
              <w:t>A holder recording assets on behalf of another party.</w:t>
            </w:r>
          </w:p>
        </w:tc>
        <w:tc>
          <w:tcPr>
            <w:tcW w:type="dxa" w:w="4248"/>
          </w:tcPr>
          <w:p>
            <w:pPr>
              <w:spacing w:after="80" w:before="60"/>
            </w:pPr>
            <w:r>
              <w:rPr>
                <w:sz w:val="19"/>
              </w:rPr>
              <w:t>Separate legal title from underlying economic ownership and avoid duplicate holdings.</w:t>
            </w:r>
          </w:p>
        </w:tc>
      </w:tr>
      <w:tr>
        <w:trPr>
          <w:cantSplit/>
        </w:trPr>
        <w:tc>
          <w:tcPr>
            <w:tcW w:type="dxa" w:w="2160"/>
          </w:tcPr>
          <w:p>
            <w:pPr>
              <w:spacing w:after="80" w:before="60"/>
            </w:pPr>
            <w:r>
              <w:rPr>
                <w:sz w:val="19"/>
              </w:rPr>
              <w:t>SPV or special purpose vehicle</w:t>
            </w:r>
          </w:p>
        </w:tc>
        <w:tc>
          <w:tcPr>
            <w:tcW w:type="dxa" w:w="3816"/>
          </w:tcPr>
          <w:p>
            <w:pPr>
              <w:spacing w:after="80" w:before="60"/>
            </w:pPr>
            <w:r>
              <w:rPr>
                <w:sz w:val="19"/>
              </w:rPr>
              <w:t>A separate entity formed for a particular investment or purpose.</w:t>
            </w:r>
          </w:p>
        </w:tc>
        <w:tc>
          <w:tcPr>
            <w:tcW w:type="dxa" w:w="4248"/>
          </w:tcPr>
          <w:p>
            <w:pPr>
              <w:spacing w:after="80" w:before="60"/>
            </w:pPr>
            <w:r>
              <w:rPr>
                <w:sz w:val="19"/>
              </w:rPr>
              <w:t>Shares owned by the SPV and interests held by its investors are separate ownership layers.</w:t>
            </w:r>
          </w:p>
        </w:tc>
      </w:tr>
      <w:tr>
        <w:trPr>
          <w:cantSplit/>
        </w:trPr>
        <w:tc>
          <w:tcPr>
            <w:tcW w:type="dxa" w:w="2160"/>
          </w:tcPr>
          <w:p>
            <w:pPr>
              <w:spacing w:after="80" w:before="60"/>
            </w:pPr>
            <w:r>
              <w:rPr>
                <w:sz w:val="19"/>
              </w:rPr>
              <w:t>Affiliate</w:t>
            </w:r>
          </w:p>
        </w:tc>
        <w:tc>
          <w:tcPr>
            <w:tcW w:type="dxa" w:w="3816"/>
          </w:tcPr>
          <w:p>
            <w:pPr>
              <w:spacing w:after="80" w:before="60"/>
            </w:pPr>
            <w:r>
              <w:rPr>
                <w:sz w:val="19"/>
              </w:rPr>
              <w:t>A related person or entity under the relationship definition in the applicable agreement.</w:t>
            </w:r>
          </w:p>
        </w:tc>
        <w:tc>
          <w:tcPr>
            <w:tcW w:type="dxa" w:w="4248"/>
          </w:tcPr>
          <w:p>
            <w:pPr>
              <w:spacing w:after="80" w:before="60"/>
            </w:pPr>
            <w:r>
              <w:rPr>
                <w:sz w:val="19"/>
              </w:rPr>
              <w:t>Can affect eligibility, transfer exceptions and voting exclusions; no automatic numerical aggregation.</w:t>
            </w:r>
          </w:p>
        </w:tc>
      </w:tr>
      <w:tr>
        <w:trPr>
          <w:cantSplit/>
        </w:trPr>
        <w:tc>
          <w:tcPr>
            <w:tcW w:type="dxa" w:w="2160"/>
          </w:tcPr>
          <w:p>
            <w:pPr>
              <w:spacing w:after="80" w:before="60"/>
            </w:pPr>
            <w:r>
              <w:rPr>
                <w:sz w:val="19"/>
              </w:rPr>
              <w:t>Instrument or security</w:t>
            </w:r>
          </w:p>
        </w:tc>
        <w:tc>
          <w:tcPr>
            <w:tcW w:type="dxa" w:w="3816"/>
          </w:tcPr>
          <w:p>
            <w:pPr>
              <w:spacing w:after="80" w:before="60"/>
            </w:pPr>
            <w:r>
              <w:rPr>
                <w:sz w:val="19"/>
              </w:rPr>
              <w:t>A particular investment agreement, security position or award with defined terms.</w:t>
            </w:r>
          </w:p>
        </w:tc>
        <w:tc>
          <w:tcPr>
            <w:tcW w:type="dxa" w:w="4248"/>
          </w:tcPr>
          <w:p>
            <w:pPr>
              <w:spacing w:after="80" w:before="60"/>
            </w:pPr>
            <w:r>
              <w:rPr>
                <w:sz w:val="19"/>
              </w:rPr>
              <w:t>Selects the input requirements and supported calculation module.</w:t>
            </w:r>
          </w:p>
        </w:tc>
      </w:tr>
      <w:tr>
        <w:trPr>
          <w:cantSplit/>
        </w:trPr>
        <w:tc>
          <w:tcPr>
            <w:tcW w:type="dxa" w:w="2160"/>
          </w:tcPr>
          <w:p>
            <w:pPr>
              <w:spacing w:after="80" w:before="60"/>
            </w:pPr>
            <w:r>
              <w:rPr>
                <w:sz w:val="19"/>
              </w:rPr>
              <w:t>Holding lot</w:t>
            </w:r>
          </w:p>
        </w:tc>
        <w:tc>
          <w:tcPr>
            <w:tcW w:type="dxa" w:w="3816"/>
          </w:tcPr>
          <w:p>
            <w:pPr>
              <w:spacing w:after="80" w:before="60"/>
            </w:pPr>
            <w:r>
              <w:rPr>
                <w:sz w:val="19"/>
              </w:rPr>
              <w:t>An identifiable group of shares with a common recorded origin or acquisition history.</w:t>
            </w:r>
          </w:p>
        </w:tc>
        <w:tc>
          <w:tcPr>
            <w:tcW w:type="dxa" w:w="4248"/>
          </w:tcPr>
          <w:p>
            <w:pPr>
              <w:spacing w:after="80" w:before="60"/>
            </w:pPr>
            <w:r>
              <w:rPr>
                <w:sz w:val="19"/>
              </w:rPr>
              <w:t>Tracks transfers, conversion outputs, ownership and per-lot rights or cost information.</w:t>
            </w:r>
          </w:p>
        </w:tc>
      </w:tr>
      <w:tr>
        <w:trPr>
          <w:cantSplit/>
        </w:trPr>
        <w:tc>
          <w:tcPr>
            <w:tcW w:type="dxa" w:w="2160"/>
          </w:tcPr>
          <w:p>
            <w:pPr>
              <w:spacing w:after="80" w:before="60"/>
            </w:pPr>
            <w:r>
              <w:rPr>
                <w:sz w:val="19"/>
              </w:rPr>
              <w:t>Security identifier or instrument ID</w:t>
            </w:r>
          </w:p>
        </w:tc>
        <w:tc>
          <w:tcPr>
            <w:tcW w:type="dxa" w:w="3816"/>
          </w:tcPr>
          <w:p>
            <w:pPr>
              <w:spacing w:after="80" w:before="60"/>
            </w:pPr>
            <w:r>
              <w:rPr>
                <w:sz w:val="19"/>
              </w:rPr>
              <w:t>A stable application identifier for one instrument or security position.</w:t>
            </w:r>
          </w:p>
        </w:tc>
        <w:tc>
          <w:tcPr>
            <w:tcW w:type="dxa" w:w="4248"/>
          </w:tcPr>
          <w:p>
            <w:pPr>
              <w:spacing w:after="80" w:before="60"/>
            </w:pPr>
            <w:r>
              <w:rPr>
                <w:sz w:val="19"/>
              </w:rPr>
              <w:t>Links calculations and events; names and spreadsheet row numbers are not stable identifiers.</w:t>
            </w:r>
          </w:p>
        </w:tc>
      </w:tr>
    </w:tbl>
    <w:p>
      <w:pPr>
        <w:spacing w:after="0"/>
      </w:pPr>
    </w:p>
    <w:p>
      <w:r>
        <w:br w:type="page"/>
      </w:r>
    </w:p>
    <w:p>
      <w:pPr>
        <w:pStyle w:val="Heading1"/>
      </w:pPr>
      <w:r>
        <w:t>T2 Share balances and ownership measurements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Share or stock unit</w:t>
            </w:r>
          </w:p>
        </w:tc>
        <w:tc>
          <w:tcPr>
            <w:tcW w:type="dxa" w:w="3816"/>
          </w:tcPr>
          <w:p>
            <w:pPr>
              <w:spacing w:after="80" w:before="60"/>
            </w:pPr>
            <w:r>
              <w:rPr>
                <w:sz w:val="19"/>
              </w:rPr>
              <w:t>A unit of equity ownership with rights defined by its class and terms.</w:t>
            </w:r>
          </w:p>
        </w:tc>
        <w:tc>
          <w:tcPr>
            <w:tcW w:type="dxa" w:w="4248"/>
          </w:tcPr>
          <w:p>
            <w:pPr>
              <w:spacing w:after="80" w:before="60"/>
            </w:pPr>
            <w:r>
              <w:rPr>
                <w:sz w:val="19"/>
              </w:rPr>
              <w:t>Basic quantity used in ownership, voting and distributions.</w:t>
            </w:r>
          </w:p>
        </w:tc>
      </w:tr>
      <w:tr>
        <w:trPr>
          <w:cantSplit/>
        </w:trPr>
        <w:tc>
          <w:tcPr>
            <w:tcW w:type="dxa" w:w="2160"/>
          </w:tcPr>
          <w:p>
            <w:pPr>
              <w:spacing w:after="80" w:before="60"/>
            </w:pPr>
            <w:r>
              <w:rPr>
                <w:sz w:val="19"/>
              </w:rPr>
              <w:t>Authorized shares</w:t>
            </w:r>
          </w:p>
        </w:tc>
        <w:tc>
          <w:tcPr>
            <w:tcW w:type="dxa" w:w="3816"/>
          </w:tcPr>
          <w:p>
            <w:pPr>
              <w:spacing w:after="80" w:before="60"/>
            </w:pPr>
            <w:r>
              <w:rPr>
                <w:sz w:val="19"/>
              </w:rPr>
              <w:t>The number of shares the issuer is permitted to issue under applicable authority.</w:t>
            </w:r>
          </w:p>
        </w:tc>
        <w:tc>
          <w:tcPr>
            <w:tcW w:type="dxa" w:w="4248"/>
          </w:tcPr>
          <w:p>
            <w:pPr>
              <w:spacing w:after="80" w:before="60"/>
            </w:pPr>
            <w:r>
              <w:rPr>
                <w:sz w:val="19"/>
              </w:rPr>
              <w:t>Checks capacity before issuance; not automatically part of an ownership denominator.</w:t>
            </w:r>
          </w:p>
        </w:tc>
      </w:tr>
      <w:tr>
        <w:trPr>
          <w:cantSplit/>
        </w:trPr>
        <w:tc>
          <w:tcPr>
            <w:tcW w:type="dxa" w:w="2160"/>
          </w:tcPr>
          <w:p>
            <w:pPr>
              <w:spacing w:after="80" w:before="60"/>
            </w:pPr>
            <w:r>
              <w:rPr>
                <w:sz w:val="19"/>
              </w:rPr>
              <w:t>Issued shares</w:t>
            </w:r>
          </w:p>
        </w:tc>
        <w:tc>
          <w:tcPr>
            <w:tcW w:type="dxa" w:w="3816"/>
          </w:tcPr>
          <w:p>
            <w:pPr>
              <w:spacing w:after="80" w:before="60"/>
            </w:pPr>
            <w:r>
              <w:rPr>
                <w:sz w:val="19"/>
              </w:rPr>
              <w:t>Shares that have been validly issued, including treasury shares where the applicable rules retain them as issued.</w:t>
            </w:r>
          </w:p>
        </w:tc>
        <w:tc>
          <w:tcPr>
            <w:tcW w:type="dxa" w:w="4248"/>
          </w:tcPr>
          <w:p>
            <w:pPr>
              <w:spacing w:after="80" w:before="60"/>
            </w:pPr>
            <w:r>
              <w:rPr>
                <w:sz w:val="19"/>
              </w:rPr>
              <w:t>Track separately from outstanding shares; report definition controls inclusion.</w:t>
            </w:r>
          </w:p>
        </w:tc>
      </w:tr>
      <w:tr>
        <w:trPr>
          <w:cantSplit/>
        </w:trPr>
        <w:tc>
          <w:tcPr>
            <w:tcW w:type="dxa" w:w="2160"/>
          </w:tcPr>
          <w:p>
            <w:pPr>
              <w:spacing w:after="80" w:before="60"/>
            </w:pPr>
            <w:r>
              <w:rPr>
                <w:sz w:val="19"/>
              </w:rPr>
              <w:t>Outstanding shares</w:t>
            </w:r>
          </w:p>
        </w:tc>
        <w:tc>
          <w:tcPr>
            <w:tcW w:type="dxa" w:w="3816"/>
          </w:tcPr>
          <w:p>
            <w:pPr>
              <w:spacing w:after="80" w:before="60"/>
            </w:pPr>
            <w:r>
              <w:rPr>
                <w:sz w:val="19"/>
              </w:rPr>
              <w:t>Issued shares currently outstanding, generally excluding shares held by the company in treasury.</w:t>
            </w:r>
          </w:p>
        </w:tc>
        <w:tc>
          <w:tcPr>
            <w:tcW w:type="dxa" w:w="4248"/>
          </w:tcPr>
          <w:p>
            <w:pPr>
              <w:spacing w:after="80" w:before="60"/>
            </w:pPr>
            <w:r>
              <w:rPr>
                <w:sz w:val="19"/>
              </w:rPr>
              <w:t>Common starting denominator for current shareholder ownership and votes.</w:t>
            </w:r>
          </w:p>
        </w:tc>
      </w:tr>
      <w:tr>
        <w:trPr>
          <w:cantSplit/>
        </w:trPr>
        <w:tc>
          <w:tcPr>
            <w:tcW w:type="dxa" w:w="2160"/>
          </w:tcPr>
          <w:p>
            <w:pPr>
              <w:spacing w:after="80" w:before="60"/>
            </w:pPr>
            <w:r>
              <w:rPr>
                <w:sz w:val="19"/>
              </w:rPr>
              <w:t>Treasury shares</w:t>
            </w:r>
          </w:p>
        </w:tc>
        <w:tc>
          <w:tcPr>
            <w:tcW w:type="dxa" w:w="3816"/>
          </w:tcPr>
          <w:p>
            <w:pPr>
              <w:spacing w:after="80" w:before="60"/>
            </w:pPr>
            <w:r>
              <w:rPr>
                <w:sz w:val="19"/>
              </w:rPr>
              <w:t>Previously issued shares held by the company after a repurchase or similar event.</w:t>
            </w:r>
          </w:p>
        </w:tc>
        <w:tc>
          <w:tcPr>
            <w:tcW w:type="dxa" w:w="4248"/>
          </w:tcPr>
          <w:p>
            <w:pPr>
              <w:spacing w:after="80" w:before="60"/>
            </w:pPr>
            <w:r>
              <w:rPr>
                <w:sz w:val="19"/>
              </w:rPr>
              <w:t>Exclude from outstanding holdings as applicable; preserve issued-versus-retired status.</w:t>
            </w:r>
          </w:p>
        </w:tc>
      </w:tr>
      <w:tr>
        <w:trPr>
          <w:cantSplit/>
        </w:trPr>
        <w:tc>
          <w:tcPr>
            <w:tcW w:type="dxa" w:w="2160"/>
          </w:tcPr>
          <w:p>
            <w:pPr>
              <w:spacing w:after="80" w:before="60"/>
            </w:pPr>
            <w:r>
              <w:rPr>
                <w:sz w:val="19"/>
              </w:rPr>
              <w:t>Reserved shares</w:t>
            </w:r>
          </w:p>
        </w:tc>
        <w:tc>
          <w:tcPr>
            <w:tcW w:type="dxa" w:w="3816"/>
          </w:tcPr>
          <w:p>
            <w:pPr>
              <w:spacing w:after="80" w:before="60"/>
            </w:pPr>
            <w:r>
              <w:rPr>
                <w:sz w:val="19"/>
              </w:rPr>
              <w:t>Shares set aside for specified future grants, exercises or conversions.</w:t>
            </w:r>
          </w:p>
        </w:tc>
        <w:tc>
          <w:tcPr>
            <w:tcW w:type="dxa" w:w="4248"/>
          </w:tcPr>
          <w:p>
            <w:pPr>
              <w:spacing w:after="80" w:before="60"/>
            </w:pPr>
            <w:r>
              <w:rPr>
                <w:sz w:val="19"/>
              </w:rPr>
              <w:t>Checks capacity and may enter a defined fully diluted base; they are not all issued shares.</w:t>
            </w:r>
          </w:p>
        </w:tc>
      </w:tr>
      <w:tr>
        <w:trPr>
          <w:cantSplit/>
        </w:trPr>
        <w:tc>
          <w:tcPr>
            <w:tcW w:type="dxa" w:w="2160"/>
          </w:tcPr>
          <w:p>
            <w:pPr>
              <w:spacing w:after="80" w:before="60"/>
            </w:pPr>
            <w:r>
              <w:rPr>
                <w:sz w:val="19"/>
              </w:rPr>
              <w:t>Unissued shares</w:t>
            </w:r>
          </w:p>
        </w:tc>
        <w:tc>
          <w:tcPr>
            <w:tcW w:type="dxa" w:w="3816"/>
          </w:tcPr>
          <w:p>
            <w:pPr>
              <w:spacing w:after="80" w:before="60"/>
            </w:pPr>
            <w:r>
              <w:rPr>
                <w:sz w:val="19"/>
              </w:rPr>
              <w:t>Authorized shares not yet issued.</w:t>
            </w:r>
          </w:p>
        </w:tc>
        <w:tc>
          <w:tcPr>
            <w:tcW w:type="dxa" w:w="4248"/>
          </w:tcPr>
          <w:p>
            <w:pPr>
              <w:spacing w:after="80" w:before="60"/>
            </w:pPr>
            <w:r>
              <w:rPr>
                <w:sz w:val="19"/>
              </w:rPr>
              <w:t>Capacity record; inclusion in dilution requires an explicit contractual definition.</w:t>
            </w:r>
          </w:p>
        </w:tc>
      </w:tr>
      <w:tr>
        <w:trPr>
          <w:cantSplit/>
        </w:trPr>
        <w:tc>
          <w:tcPr>
            <w:tcW w:type="dxa" w:w="2160"/>
          </w:tcPr>
          <w:p>
            <w:pPr>
              <w:spacing w:after="80" w:before="60"/>
            </w:pPr>
            <w:r>
              <w:rPr>
                <w:sz w:val="19"/>
              </w:rPr>
              <w:t>Ownership percentage</w:t>
            </w:r>
          </w:p>
        </w:tc>
        <w:tc>
          <w:tcPr>
            <w:tcW w:type="dxa" w:w="3816"/>
          </w:tcPr>
          <w:p>
            <w:pPr>
              <w:spacing w:after="80" w:before="60"/>
            </w:pPr>
            <w:r>
              <w:rPr>
                <w:sz w:val="19"/>
              </w:rPr>
              <w:t>The included quantity belonging to a holder divided by the included company total for a named view.</w:t>
            </w:r>
          </w:p>
        </w:tc>
        <w:tc>
          <w:tcPr>
            <w:tcW w:type="dxa" w:w="4248"/>
          </w:tcPr>
          <w:p>
            <w:pPr>
              <w:spacing w:after="80" w:before="60"/>
            </w:pPr>
            <w:r>
              <w:rPr>
                <w:sz w:val="19"/>
              </w:rPr>
              <w:t>Ownership service must return both the numerator and denominator definition.</w:t>
            </w:r>
          </w:p>
        </w:tc>
      </w:tr>
      <w:tr>
        <w:trPr>
          <w:cantSplit/>
        </w:trPr>
        <w:tc>
          <w:tcPr>
            <w:tcW w:type="dxa" w:w="2160"/>
          </w:tcPr>
          <w:p>
            <w:pPr>
              <w:spacing w:after="80" w:before="60"/>
            </w:pPr>
            <w:r>
              <w:rPr>
                <w:sz w:val="19"/>
              </w:rPr>
              <w:t>Numerator</w:t>
            </w:r>
          </w:p>
        </w:tc>
        <w:tc>
          <w:tcPr>
            <w:tcW w:type="dxa" w:w="3816"/>
          </w:tcPr>
          <w:p>
            <w:pPr>
              <w:spacing w:after="80" w:before="60"/>
            </w:pPr>
            <w:r>
              <w:rPr>
                <w:sz w:val="19"/>
              </w:rPr>
              <w:t>The amount above the fraction line, such as included shares belonging to one holder.</w:t>
            </w:r>
          </w:p>
        </w:tc>
        <w:tc>
          <w:tcPr>
            <w:tcW w:type="dxa" w:w="4248"/>
          </w:tcPr>
          <w:p>
            <w:pPr>
              <w:spacing w:after="80" w:before="60"/>
            </w:pPr>
            <w:r>
              <w:rPr>
                <w:sz w:val="19"/>
              </w:rPr>
              <w:t>Determines the holder side of an ownership or voting fraction.</w:t>
            </w:r>
          </w:p>
        </w:tc>
      </w:tr>
      <w:tr>
        <w:trPr>
          <w:cantSplit/>
        </w:trPr>
        <w:tc>
          <w:tcPr>
            <w:tcW w:type="dxa" w:w="2160"/>
          </w:tcPr>
          <w:p>
            <w:pPr>
              <w:spacing w:after="80" w:before="60"/>
            </w:pPr>
            <w:r>
              <w:rPr>
                <w:sz w:val="19"/>
              </w:rPr>
              <w:t>Denominator</w:t>
            </w:r>
          </w:p>
        </w:tc>
        <w:tc>
          <w:tcPr>
            <w:tcW w:type="dxa" w:w="3816"/>
          </w:tcPr>
          <w:p>
            <w:pPr>
              <w:spacing w:after="80" w:before="60"/>
            </w:pPr>
            <w:r>
              <w:rPr>
                <w:sz w:val="19"/>
              </w:rPr>
              <w:t>The total below the fraction line, such as all included shares.</w:t>
            </w:r>
          </w:p>
        </w:tc>
        <w:tc>
          <w:tcPr>
            <w:tcW w:type="dxa" w:w="4248"/>
          </w:tcPr>
          <w:p>
            <w:pPr>
              <w:spacing w:after="80" w:before="60"/>
            </w:pPr>
            <w:r>
              <w:rPr>
                <w:sz w:val="19"/>
              </w:rPr>
              <w:t>Controls the meaning of percentages; different contracts may use different totals.</w:t>
            </w:r>
          </w:p>
        </w:tc>
      </w:tr>
      <w:tr>
        <w:trPr>
          <w:cantSplit/>
        </w:trPr>
        <w:tc>
          <w:tcPr>
            <w:tcW w:type="dxa" w:w="2160"/>
          </w:tcPr>
          <w:p>
            <w:pPr>
              <w:spacing w:after="80" w:before="60"/>
            </w:pPr>
            <w:r>
              <w:rPr>
                <w:sz w:val="19"/>
              </w:rPr>
              <w:t>As-converted basis</w:t>
            </w:r>
          </w:p>
        </w:tc>
        <w:tc>
          <w:tcPr>
            <w:tcW w:type="dxa" w:w="3816"/>
          </w:tcPr>
          <w:p>
            <w:pPr>
              <w:spacing w:after="80" w:before="60"/>
            </w:pPr>
            <w:r>
              <w:rPr>
                <w:sz w:val="19"/>
              </w:rPr>
              <w:t>A view treating specified convertible holdings as their defined underlying share equivalents.</w:t>
            </w:r>
          </w:p>
        </w:tc>
        <w:tc>
          <w:tcPr>
            <w:tcW w:type="dxa" w:w="4248"/>
          </w:tcPr>
          <w:p>
            <w:pPr>
              <w:spacing w:after="80" w:before="60"/>
            </w:pPr>
            <w:r>
              <w:rPr>
                <w:sz w:val="19"/>
              </w:rPr>
              <w:t>Used in financing, voting or waterfall inputs only under the selected conversion assumptions.</w:t>
            </w:r>
          </w:p>
        </w:tc>
      </w:tr>
      <w:tr>
        <w:trPr>
          <w:cantSplit/>
        </w:trPr>
        <w:tc>
          <w:tcPr>
            <w:tcW w:type="dxa" w:w="2160"/>
          </w:tcPr>
          <w:p>
            <w:pPr>
              <w:spacing w:after="80" w:before="60"/>
            </w:pPr>
            <w:r>
              <w:rPr>
                <w:sz w:val="19"/>
              </w:rPr>
              <w:t>Fully diluted basis</w:t>
            </w:r>
          </w:p>
        </w:tc>
        <w:tc>
          <w:tcPr>
            <w:tcW w:type="dxa" w:w="3816"/>
          </w:tcPr>
          <w:p>
            <w:pPr>
              <w:spacing w:after="80" w:before="60"/>
            </w:pPr>
            <w:r>
              <w:rPr>
                <w:sz w:val="19"/>
              </w:rPr>
              <w:t>A named view including specified existing and potential shares, such as awards or converting instruments.</w:t>
            </w:r>
          </w:p>
        </w:tc>
        <w:tc>
          <w:tcPr>
            <w:tcW w:type="dxa" w:w="4248"/>
          </w:tcPr>
          <w:p>
            <w:pPr>
              <w:spacing w:after="80" w:before="60"/>
            </w:pPr>
            <w:r>
              <w:rPr>
                <w:sz w:val="19"/>
              </w:rPr>
              <w:t>Requires explicit inclusion rules; never reuse one universal fully diluted total.</w:t>
            </w:r>
          </w:p>
        </w:tc>
      </w:tr>
    </w:tbl>
    <w:p>
      <w:pPr>
        <w:spacing w:after="0"/>
      </w:pPr>
    </w:p>
    <w:p>
      <w:r>
        <w:br w:type="page"/>
      </w:r>
    </w:p>
    <w:p>
      <w:pPr>
        <w:pStyle w:val="Heading1"/>
      </w:pPr>
      <w:r>
        <w:t>T3 Share classes and changes in ownership</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Common stock or ordinary shares</w:t>
            </w:r>
          </w:p>
        </w:tc>
        <w:tc>
          <w:tcPr>
            <w:tcW w:type="dxa" w:w="3816"/>
          </w:tcPr>
          <w:p>
            <w:pPr>
              <w:spacing w:after="80" w:before="60"/>
            </w:pPr>
            <w:r>
              <w:rPr>
                <w:sz w:val="19"/>
              </w:rPr>
              <w:t>Equity with the rights assigned to the common or ordinary class.</w:t>
            </w:r>
          </w:p>
        </w:tc>
        <w:tc>
          <w:tcPr>
            <w:tcW w:type="dxa" w:w="4248"/>
          </w:tcPr>
          <w:p>
            <w:pPr>
              <w:spacing w:after="80" w:before="60"/>
            </w:pPr>
            <w:r>
              <w:rPr>
                <w:sz w:val="19"/>
              </w:rPr>
              <w:t>Usually receives its defined residual payout after higher-priority claims; voting may vary.</w:t>
            </w:r>
          </w:p>
        </w:tc>
      </w:tr>
      <w:tr>
        <w:trPr>
          <w:cantSplit/>
        </w:trPr>
        <w:tc>
          <w:tcPr>
            <w:tcW w:type="dxa" w:w="2160"/>
          </w:tcPr>
          <w:p>
            <w:pPr>
              <w:spacing w:after="80" w:before="60"/>
            </w:pPr>
            <w:r>
              <w:rPr>
                <w:sz w:val="19"/>
              </w:rPr>
              <w:t>Preferred stock or preference shares</w:t>
            </w:r>
          </w:p>
        </w:tc>
        <w:tc>
          <w:tcPr>
            <w:tcW w:type="dxa" w:w="3816"/>
          </w:tcPr>
          <w:p>
            <w:pPr>
              <w:spacing w:after="80" w:before="60"/>
            </w:pPr>
            <w:r>
              <w:rPr>
                <w:sz w:val="19"/>
              </w:rPr>
              <w:t>Equity with specified economic or governance rights that differ from another class.</w:t>
            </w:r>
          </w:p>
        </w:tc>
        <w:tc>
          <w:tcPr>
            <w:tcW w:type="dxa" w:w="4248"/>
          </w:tcPr>
          <w:p>
            <w:pPr>
              <w:spacing w:after="80" w:before="60"/>
            </w:pPr>
            <w:r>
              <w:rPr>
                <w:sz w:val="19"/>
              </w:rPr>
              <w:t>Supplies preference, dividend, conversion and voting inputs; the label alone is insufficient.</w:t>
            </w:r>
          </w:p>
        </w:tc>
      </w:tr>
      <w:tr>
        <w:trPr>
          <w:cantSplit/>
        </w:trPr>
        <w:tc>
          <w:tcPr>
            <w:tcW w:type="dxa" w:w="2160"/>
          </w:tcPr>
          <w:p>
            <w:pPr>
              <w:spacing w:after="80" w:before="60"/>
            </w:pPr>
            <w:r>
              <w:rPr>
                <w:sz w:val="19"/>
              </w:rPr>
              <w:t>Class and series</w:t>
            </w:r>
          </w:p>
        </w:tc>
        <w:tc>
          <w:tcPr>
            <w:tcW w:type="dxa" w:w="3816"/>
          </w:tcPr>
          <w:p>
            <w:pPr>
              <w:spacing w:after="80" w:before="60"/>
            </w:pPr>
            <w:r>
              <w:rPr>
                <w:sz w:val="19"/>
              </w:rPr>
              <w:t>Named groups of equity with defined rights; a series can sit within a class structure.</w:t>
            </w:r>
          </w:p>
        </w:tc>
        <w:tc>
          <w:tcPr>
            <w:tcW w:type="dxa" w:w="4248"/>
          </w:tcPr>
          <w:p>
            <w:pPr>
              <w:spacing w:after="80" w:before="60"/>
            </w:pPr>
            <w:r>
              <w:rPr>
                <w:sz w:val="19"/>
              </w:rPr>
              <w:t>Keep stable IDs and effective rights for each group in all calculations.</w:t>
            </w:r>
          </w:p>
        </w:tc>
      </w:tr>
      <w:tr>
        <w:trPr>
          <w:cantSplit/>
        </w:trPr>
        <w:tc>
          <w:tcPr>
            <w:tcW w:type="dxa" w:w="2160"/>
          </w:tcPr>
          <w:p>
            <w:pPr>
              <w:spacing w:after="80" w:before="60"/>
            </w:pPr>
            <w:r>
              <w:rPr>
                <w:sz w:val="19"/>
              </w:rPr>
              <w:t>Nonvoting shares</w:t>
            </w:r>
          </w:p>
        </w:tc>
        <w:tc>
          <w:tcPr>
            <w:tcW w:type="dxa" w:w="3816"/>
          </w:tcPr>
          <w:p>
            <w:pPr>
              <w:spacing w:after="80" w:before="60"/>
            </w:pPr>
            <w:r>
              <w:rPr>
                <w:sz w:val="19"/>
              </w:rPr>
              <w:t>Shares without specified ordinary voting rights, subject to their actual terms.</w:t>
            </w:r>
          </w:p>
        </w:tc>
        <w:tc>
          <w:tcPr>
            <w:tcW w:type="dxa" w:w="4248"/>
          </w:tcPr>
          <w:p>
            <w:pPr>
              <w:spacing w:after="80" w:before="60"/>
            </w:pPr>
            <w:r>
              <w:rPr>
                <w:sz w:val="19"/>
              </w:rPr>
              <w:t>May count economically while contributing no votes to a particular electorate.</w:t>
            </w:r>
          </w:p>
        </w:tc>
      </w:tr>
      <w:tr>
        <w:trPr>
          <w:cantSplit/>
        </w:trPr>
        <w:tc>
          <w:tcPr>
            <w:tcW w:type="dxa" w:w="2160"/>
          </w:tcPr>
          <w:p>
            <w:pPr>
              <w:spacing w:after="80" w:before="60"/>
            </w:pPr>
            <w:r>
              <w:rPr>
                <w:sz w:val="19"/>
              </w:rPr>
              <w:t>Super-voting shares</w:t>
            </w:r>
          </w:p>
        </w:tc>
        <w:tc>
          <w:tcPr>
            <w:tcW w:type="dxa" w:w="3816"/>
          </w:tcPr>
          <w:p>
            <w:pPr>
              <w:spacing w:after="80" w:before="60"/>
            </w:pPr>
            <w:r>
              <w:rPr>
                <w:sz w:val="19"/>
              </w:rPr>
              <w:t>Shares carrying more votes per share than a comparison class.</w:t>
            </w:r>
          </w:p>
        </w:tc>
        <w:tc>
          <w:tcPr>
            <w:tcW w:type="dxa" w:w="4248"/>
          </w:tcPr>
          <w:p>
            <w:pPr>
              <w:spacing w:after="80" w:before="60"/>
            </w:pPr>
            <w:r>
              <w:rPr>
                <w:sz w:val="19"/>
              </w:rPr>
              <w:t>Voting quantity equals eligible shares times the applicable vote multiplier.</w:t>
            </w:r>
          </w:p>
        </w:tc>
      </w:tr>
      <w:tr>
        <w:trPr>
          <w:cantSplit/>
        </w:trPr>
        <w:tc>
          <w:tcPr>
            <w:tcW w:type="dxa" w:w="2160"/>
          </w:tcPr>
          <w:p>
            <w:pPr>
              <w:spacing w:after="80" w:before="60"/>
            </w:pPr>
            <w:r>
              <w:rPr>
                <w:sz w:val="19"/>
              </w:rPr>
              <w:t>Par value</w:t>
            </w:r>
          </w:p>
        </w:tc>
        <w:tc>
          <w:tcPr>
            <w:tcW w:type="dxa" w:w="3816"/>
          </w:tcPr>
          <w:p>
            <w:pPr>
              <w:spacing w:after="80" w:before="60"/>
            </w:pPr>
            <w:r>
              <w:rPr>
                <w:sz w:val="19"/>
              </w:rPr>
              <w:t>A stated legal amount per share, distinct from investment price or market value.</w:t>
            </w:r>
          </w:p>
        </w:tc>
        <w:tc>
          <w:tcPr>
            <w:tcW w:type="dxa" w:w="4248"/>
          </w:tcPr>
          <w:p>
            <w:pPr>
              <w:spacing w:after="80" w:before="60"/>
            </w:pPr>
            <w:r>
              <w:rPr>
                <w:sz w:val="19"/>
              </w:rPr>
              <w:t>May enter capital-account/legal checks; never substitute it for financing or conversion price.</w:t>
            </w:r>
          </w:p>
        </w:tc>
      </w:tr>
      <w:tr>
        <w:trPr>
          <w:cantSplit/>
        </w:trPr>
        <w:tc>
          <w:tcPr>
            <w:tcW w:type="dxa" w:w="2160"/>
          </w:tcPr>
          <w:p>
            <w:pPr>
              <w:spacing w:after="80" w:before="60"/>
            </w:pPr>
            <w:r>
              <w:rPr>
                <w:sz w:val="19"/>
              </w:rPr>
              <w:t>Original issue price</w:t>
            </w:r>
          </w:p>
        </w:tc>
        <w:tc>
          <w:tcPr>
            <w:tcW w:type="dxa" w:w="3816"/>
          </w:tcPr>
          <w:p>
            <w:pPr>
              <w:spacing w:after="80" w:before="60"/>
            </w:pPr>
            <w:r>
              <w:rPr>
                <w:sz w:val="19"/>
              </w:rPr>
              <w:t>The price or defined reference amount when a class or lot was issued.</w:t>
            </w:r>
          </w:p>
        </w:tc>
        <w:tc>
          <w:tcPr>
            <w:tcW w:type="dxa" w:w="4248"/>
          </w:tcPr>
          <w:p>
            <w:pPr>
              <w:spacing w:after="80" w:before="60"/>
            </w:pPr>
            <w:r>
              <w:rPr>
                <w:sz w:val="19"/>
              </w:rPr>
              <w:t>May set preference bases, dividends or conversion ratios, according to the terms.</w:t>
            </w:r>
          </w:p>
        </w:tc>
      </w:tr>
      <w:tr>
        <w:trPr>
          <w:cantSplit/>
        </w:trPr>
        <w:tc>
          <w:tcPr>
            <w:tcW w:type="dxa" w:w="2160"/>
          </w:tcPr>
          <w:p>
            <w:pPr>
              <w:spacing w:after="80" w:before="60"/>
            </w:pPr>
            <w:r>
              <w:rPr>
                <w:sz w:val="19"/>
              </w:rPr>
              <w:t>Share equivalent</w:t>
            </w:r>
          </w:p>
        </w:tc>
        <w:tc>
          <w:tcPr>
            <w:tcW w:type="dxa" w:w="3816"/>
          </w:tcPr>
          <w:p>
            <w:pPr>
              <w:spacing w:after="80" w:before="60"/>
            </w:pPr>
            <w:r>
              <w:rPr>
                <w:sz w:val="19"/>
              </w:rPr>
              <w:t>The number of underlying shares represented by a specified instrument under a selected assumption.</w:t>
            </w:r>
          </w:p>
        </w:tc>
        <w:tc>
          <w:tcPr>
            <w:tcW w:type="dxa" w:w="4248"/>
          </w:tcPr>
          <w:p>
            <w:pPr>
              <w:spacing w:after="80" w:before="60"/>
            </w:pPr>
            <w:r>
              <w:rPr>
                <w:sz w:val="19"/>
              </w:rPr>
              <w:t>Used to compare classes and construct as-converted or fully diluted totals.</w:t>
            </w:r>
          </w:p>
        </w:tc>
      </w:tr>
      <w:tr>
        <w:trPr>
          <w:cantSplit/>
        </w:trPr>
        <w:tc>
          <w:tcPr>
            <w:tcW w:type="dxa" w:w="2160"/>
          </w:tcPr>
          <w:p>
            <w:pPr>
              <w:spacing w:after="80" w:before="60"/>
            </w:pPr>
            <w:r>
              <w:rPr>
                <w:sz w:val="19"/>
              </w:rPr>
              <w:t>Dilution</w:t>
            </w:r>
          </w:p>
        </w:tc>
        <w:tc>
          <w:tcPr>
            <w:tcW w:type="dxa" w:w="3816"/>
          </w:tcPr>
          <w:p>
            <w:pPr>
              <w:spacing w:after="80" w:before="60"/>
            </w:pPr>
            <w:r>
              <w:rPr>
                <w:sz w:val="19"/>
              </w:rPr>
              <w:t>A reduction in a percentage held by an owner or specified economic position when the capital structure changes.</w:t>
            </w:r>
          </w:p>
        </w:tc>
        <w:tc>
          <w:tcPr>
            <w:tcW w:type="dxa" w:w="4248"/>
          </w:tcPr>
          <w:p>
            <w:pPr>
              <w:spacing w:after="80" w:before="60"/>
            </w:pPr>
            <w:r>
              <w:rPr>
                <w:sz w:val="19"/>
              </w:rPr>
              <w:t>Compare consistent before-and-after ownership definitions; share count need not fall.</w:t>
            </w:r>
          </w:p>
        </w:tc>
      </w:tr>
      <w:tr>
        <w:trPr>
          <w:cantSplit/>
        </w:trPr>
        <w:tc>
          <w:tcPr>
            <w:tcW w:type="dxa" w:w="2160"/>
          </w:tcPr>
          <w:p>
            <w:pPr>
              <w:spacing w:after="80" w:before="60"/>
            </w:pPr>
            <w:r>
              <w:rPr>
                <w:sz w:val="19"/>
              </w:rPr>
              <w:t>Percentage point change</w:t>
            </w:r>
          </w:p>
        </w:tc>
        <w:tc>
          <w:tcPr>
            <w:tcW w:type="dxa" w:w="3816"/>
          </w:tcPr>
          <w:p>
            <w:pPr>
              <w:spacing w:after="80" w:before="60"/>
            </w:pPr>
            <w:r>
              <w:rPr>
                <w:sz w:val="19"/>
              </w:rPr>
              <w:t>The arithmetic difference between two percentages.</w:t>
            </w:r>
          </w:p>
        </w:tc>
        <w:tc>
          <w:tcPr>
            <w:tcW w:type="dxa" w:w="4248"/>
          </w:tcPr>
          <w:p>
            <w:pPr>
              <w:spacing w:after="80" w:before="60"/>
            </w:pPr>
            <w:r>
              <w:rPr>
                <w:sz w:val="19"/>
              </w:rPr>
              <w:t>Ownership moving from 25% to 20% is a 5 percentage point decrease.</w:t>
            </w:r>
          </w:p>
        </w:tc>
      </w:tr>
      <w:tr>
        <w:trPr>
          <w:cantSplit/>
        </w:trPr>
        <w:tc>
          <w:tcPr>
            <w:tcW w:type="dxa" w:w="2160"/>
          </w:tcPr>
          <w:p>
            <w:pPr>
              <w:spacing w:after="80" w:before="60"/>
            </w:pPr>
            <w:r>
              <w:rPr>
                <w:sz w:val="19"/>
              </w:rPr>
              <w:t>Relative dilution</w:t>
            </w:r>
          </w:p>
        </w:tc>
        <w:tc>
          <w:tcPr>
            <w:tcW w:type="dxa" w:w="3816"/>
          </w:tcPr>
          <w:p>
            <w:pPr>
              <w:spacing w:after="80" w:before="60"/>
            </w:pPr>
            <w:r>
              <w:rPr>
                <w:sz w:val="19"/>
              </w:rPr>
              <w:t>The percentage reduction relative to the original ownership percentage.</w:t>
            </w:r>
          </w:p>
        </w:tc>
        <w:tc>
          <w:tcPr>
            <w:tcW w:type="dxa" w:w="4248"/>
          </w:tcPr>
          <w:p>
            <w:pPr>
              <w:spacing w:after="80" w:before="60"/>
            </w:pPr>
            <w:r>
              <w:rPr>
                <w:sz w:val="19"/>
              </w:rPr>
              <w:t>The move from 25% to 20% is a 20% relative reduction, distinct from 5 percentage points.</w:t>
            </w:r>
          </w:p>
        </w:tc>
      </w:tr>
      <w:tr>
        <w:trPr>
          <w:cantSplit/>
        </w:trPr>
        <w:tc>
          <w:tcPr>
            <w:tcW w:type="dxa" w:w="2160"/>
          </w:tcPr>
          <w:p>
            <w:pPr>
              <w:spacing w:after="80" w:before="60"/>
            </w:pPr>
            <w:r>
              <w:rPr>
                <w:sz w:val="19"/>
              </w:rPr>
              <w:t>Pro forma cap table</w:t>
            </w:r>
          </w:p>
        </w:tc>
        <w:tc>
          <w:tcPr>
            <w:tcW w:type="dxa" w:w="3816"/>
          </w:tcPr>
          <w:p>
            <w:pPr>
              <w:spacing w:after="80" w:before="60"/>
            </w:pPr>
            <w:r>
              <w:rPr>
                <w:sz w:val="19"/>
              </w:rPr>
              <w:t>A proposed what-if cap table after specified financing or other changes.</w:t>
            </w:r>
          </w:p>
        </w:tc>
        <w:tc>
          <w:tcPr>
            <w:tcW w:type="dxa" w:w="4248"/>
          </w:tcPr>
          <w:p>
            <w:pPr>
              <w:spacing w:after="80" w:before="60"/>
            </w:pPr>
            <w:r>
              <w:rPr>
                <w:sz w:val="19"/>
              </w:rPr>
              <w:t>Scenario output; must not replace official holdings without an approved actual event.</w:t>
            </w:r>
          </w:p>
        </w:tc>
      </w:tr>
    </w:tbl>
    <w:p>
      <w:pPr>
        <w:spacing w:after="0"/>
      </w:pPr>
    </w:p>
    <w:p>
      <w:r>
        <w:br w:type="page"/>
      </w:r>
    </w:p>
    <w:p>
      <w:pPr>
        <w:pStyle w:val="Heading1"/>
      </w:pPr>
      <w:r>
        <w:t>T4 Valuation pricing and financing amounts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Financing round</w:t>
            </w:r>
          </w:p>
        </w:tc>
        <w:tc>
          <w:tcPr>
            <w:tcW w:type="dxa" w:w="3816"/>
          </w:tcPr>
          <w:p>
            <w:pPr>
              <w:spacing w:after="80" w:before="60"/>
            </w:pPr>
            <w:r>
              <w:rPr>
                <w:sz w:val="19"/>
              </w:rPr>
              <w:t>A fundraising transaction or grouping of related closes under agreed terms.</w:t>
            </w:r>
          </w:p>
        </w:tc>
        <w:tc>
          <w:tcPr>
            <w:tcW w:type="dxa" w:w="4248"/>
          </w:tcPr>
          <w:p>
            <w:pPr>
              <w:spacing w:after="80" w:before="60"/>
            </w:pPr>
            <w:r>
              <w:rPr>
                <w:sz w:val="19"/>
              </w:rPr>
              <w:t>Groups proposed investments and conversion triggers; round name alone is not an eligibility rule.</w:t>
            </w:r>
          </w:p>
        </w:tc>
      </w:tr>
      <w:tr>
        <w:trPr>
          <w:cantSplit/>
        </w:trPr>
        <w:tc>
          <w:tcPr>
            <w:tcW w:type="dxa" w:w="2160"/>
          </w:tcPr>
          <w:p>
            <w:pPr>
              <w:spacing w:after="80" w:before="60"/>
            </w:pPr>
            <w:r>
              <w:rPr>
                <w:sz w:val="19"/>
              </w:rPr>
              <w:t>Priced round</w:t>
            </w:r>
          </w:p>
        </w:tc>
        <w:tc>
          <w:tcPr>
            <w:tcW w:type="dxa" w:w="3816"/>
          </w:tcPr>
          <w:p>
            <w:pPr>
              <w:spacing w:after="80" w:before="60"/>
            </w:pPr>
            <w:r>
              <w:rPr>
                <w:sz w:val="19"/>
              </w:rPr>
              <w:t>A financing where investors acquire securities at an agreed price under defined valuation terms.</w:t>
            </w:r>
          </w:p>
        </w:tc>
        <w:tc>
          <w:tcPr>
            <w:tcW w:type="dxa" w:w="4248"/>
          </w:tcPr>
          <w:p>
            <w:pPr>
              <w:spacing w:after="80" w:before="60"/>
            </w:pPr>
            <w:r>
              <w:rPr>
                <w:sz w:val="19"/>
              </w:rPr>
              <w:t>Round solver derives shares from applicable cash and price, including coupled conversion effects.</w:t>
            </w:r>
          </w:p>
        </w:tc>
      </w:tr>
      <w:tr>
        <w:trPr>
          <w:cantSplit/>
        </w:trPr>
        <w:tc>
          <w:tcPr>
            <w:tcW w:type="dxa" w:w="2160"/>
          </w:tcPr>
          <w:p>
            <w:pPr>
              <w:spacing w:after="80" w:before="60"/>
            </w:pPr>
            <w:r>
              <w:rPr>
                <w:sz w:val="19"/>
              </w:rPr>
              <w:t>Pre-money valuation</w:t>
            </w:r>
          </w:p>
        </w:tc>
        <w:tc>
          <w:tcPr>
            <w:tcW w:type="dxa" w:w="3816"/>
          </w:tcPr>
          <w:p>
            <w:pPr>
              <w:spacing w:after="80" w:before="60"/>
            </w:pPr>
            <w:r>
              <w:rPr>
                <w:sz w:val="19"/>
              </w:rPr>
              <w:t>The agreed company value before specified new investment proceeds, under the deal definition.</w:t>
            </w:r>
          </w:p>
        </w:tc>
        <w:tc>
          <w:tcPr>
            <w:tcW w:type="dxa" w:w="4248"/>
          </w:tcPr>
          <w:p>
            <w:pPr>
              <w:spacing w:after="80" w:before="60"/>
            </w:pPr>
            <w:r>
              <w:rPr>
                <w:sz w:val="19"/>
              </w:rPr>
              <w:t>In a simple case, divide it by the agreed pre-round share base to obtain price.</w:t>
            </w:r>
          </w:p>
        </w:tc>
      </w:tr>
      <w:tr>
        <w:trPr>
          <w:cantSplit/>
        </w:trPr>
        <w:tc>
          <w:tcPr>
            <w:tcW w:type="dxa" w:w="2160"/>
          </w:tcPr>
          <w:p>
            <w:pPr>
              <w:spacing w:after="80" w:before="60"/>
            </w:pPr>
            <w:r>
              <w:rPr>
                <w:sz w:val="19"/>
              </w:rPr>
              <w:t>Post-money valuation</w:t>
            </w:r>
          </w:p>
        </w:tc>
        <w:tc>
          <w:tcPr>
            <w:tcW w:type="dxa" w:w="3816"/>
          </w:tcPr>
          <w:p>
            <w:pPr>
              <w:spacing w:after="80" w:before="60"/>
            </w:pPr>
            <w:r>
              <w:rPr>
                <w:sz w:val="19"/>
              </w:rPr>
              <w:t>The agreed company value after specified financing effects.</w:t>
            </w:r>
          </w:p>
        </w:tc>
        <w:tc>
          <w:tcPr>
            <w:tcW w:type="dxa" w:w="4248"/>
          </w:tcPr>
          <w:p>
            <w:pPr>
              <w:spacing w:after="80" w:before="60"/>
            </w:pPr>
            <w:r>
              <w:rPr>
                <w:sz w:val="19"/>
              </w:rPr>
              <w:t>Pre-money plus new cash works only when that is the confirmed transaction definition.</w:t>
            </w:r>
          </w:p>
        </w:tc>
      </w:tr>
      <w:tr>
        <w:trPr>
          <w:cantSplit/>
        </w:trPr>
        <w:tc>
          <w:tcPr>
            <w:tcW w:type="dxa" w:w="2160"/>
          </w:tcPr>
          <w:p>
            <w:pPr>
              <w:spacing w:after="80" w:before="60"/>
            </w:pPr>
            <w:r>
              <w:rPr>
                <w:sz w:val="19"/>
              </w:rPr>
              <w:t>Price per share or PPS</w:t>
            </w:r>
          </w:p>
        </w:tc>
        <w:tc>
          <w:tcPr>
            <w:tcW w:type="dxa" w:w="3816"/>
          </w:tcPr>
          <w:p>
            <w:pPr>
              <w:spacing w:after="80" w:before="60"/>
            </w:pPr>
            <w:r>
              <w:rPr>
                <w:sz w:val="19"/>
              </w:rPr>
              <w:t>The money amount paid or applied for one share of a specified class.</w:t>
            </w:r>
          </w:p>
        </w:tc>
        <w:tc>
          <w:tcPr>
            <w:tcW w:type="dxa" w:w="4248"/>
          </w:tcPr>
          <w:p>
            <w:pPr>
              <w:spacing w:after="80" w:before="60"/>
            </w:pPr>
            <w:r>
              <w:rPr>
                <w:sz w:val="19"/>
              </w:rPr>
              <w:t>Converts eligible investment into shares; retain currency and exact precision.</w:t>
            </w:r>
          </w:p>
        </w:tc>
      </w:tr>
      <w:tr>
        <w:trPr>
          <w:cantSplit/>
        </w:trPr>
        <w:tc>
          <w:tcPr>
            <w:tcW w:type="dxa" w:w="2160"/>
          </w:tcPr>
          <w:p>
            <w:pPr>
              <w:spacing w:after="80" w:before="60"/>
            </w:pPr>
            <w:r>
              <w:rPr>
                <w:sz w:val="19"/>
              </w:rPr>
              <w:t>Capitalization definition</w:t>
            </w:r>
          </w:p>
        </w:tc>
        <w:tc>
          <w:tcPr>
            <w:tcW w:type="dxa" w:w="3816"/>
          </w:tcPr>
          <w:p>
            <w:pPr>
              <w:spacing w:after="80" w:before="60"/>
            </w:pPr>
            <w:r>
              <w:rPr>
                <w:sz w:val="19"/>
              </w:rPr>
              <w:t>The agreement-specific list of shares and potential shares included in a pricing base.</w:t>
            </w:r>
          </w:p>
        </w:tc>
        <w:tc>
          <w:tcPr>
            <w:tcW w:type="dxa" w:w="4248"/>
          </w:tcPr>
          <w:p>
            <w:pPr>
              <w:spacing w:after="80" w:before="60"/>
            </w:pPr>
            <w:r>
              <w:rPr>
                <w:sz w:val="19"/>
              </w:rPr>
              <w:t>Defines valuation-cap and financing denominators; omissions can change all conversion results.</w:t>
            </w:r>
          </w:p>
        </w:tc>
      </w:tr>
      <w:tr>
        <w:trPr>
          <w:cantSplit/>
        </w:trPr>
        <w:tc>
          <w:tcPr>
            <w:tcW w:type="dxa" w:w="2160"/>
          </w:tcPr>
          <w:p>
            <w:pPr>
              <w:spacing w:after="80" w:before="60"/>
            </w:pPr>
            <w:r>
              <w:rPr>
                <w:sz w:val="19"/>
              </w:rPr>
              <w:t>Primary investment</w:t>
            </w:r>
          </w:p>
        </w:tc>
        <w:tc>
          <w:tcPr>
            <w:tcW w:type="dxa" w:w="3816"/>
          </w:tcPr>
          <w:p>
            <w:pPr>
              <w:spacing w:after="80" w:before="60"/>
            </w:pPr>
            <w:r>
              <w:rPr>
                <w:sz w:val="19"/>
              </w:rPr>
              <w:t>Money or other agreed consideration paid to the company for newly issued instruments.</w:t>
            </w:r>
          </w:p>
        </w:tc>
        <w:tc>
          <w:tcPr>
            <w:tcW w:type="dxa" w:w="4248"/>
          </w:tcPr>
          <w:p>
            <w:pPr>
              <w:spacing w:after="80" w:before="60"/>
            </w:pPr>
            <w:r>
              <w:rPr>
                <w:sz w:val="19"/>
              </w:rPr>
              <w:t>Normally adds company proceeds and new securities under the transaction terms.</w:t>
            </w:r>
          </w:p>
        </w:tc>
      </w:tr>
      <w:tr>
        <w:trPr>
          <w:cantSplit/>
        </w:trPr>
        <w:tc>
          <w:tcPr>
            <w:tcW w:type="dxa" w:w="2160"/>
          </w:tcPr>
          <w:p>
            <w:pPr>
              <w:spacing w:after="80" w:before="60"/>
            </w:pPr>
            <w:r>
              <w:rPr>
                <w:sz w:val="19"/>
              </w:rPr>
              <w:t>Secondary sale</w:t>
            </w:r>
          </w:p>
        </w:tc>
        <w:tc>
          <w:tcPr>
            <w:tcW w:type="dxa" w:w="3816"/>
          </w:tcPr>
          <w:p>
            <w:pPr>
              <w:spacing w:after="80" w:before="60"/>
            </w:pPr>
            <w:r>
              <w:rPr>
                <w:sz w:val="19"/>
              </w:rPr>
              <w:t>A sale of existing securities from one holder to another.</w:t>
            </w:r>
          </w:p>
        </w:tc>
        <w:tc>
          <w:tcPr>
            <w:tcW w:type="dxa" w:w="4248"/>
          </w:tcPr>
          <w:p>
            <w:pPr>
              <w:spacing w:after="80" w:before="60"/>
            </w:pPr>
            <w:r>
              <w:rPr>
                <w:sz w:val="19"/>
              </w:rPr>
              <w:t>Changes holder ownership; does not itself create new company shares or primary cash.</w:t>
            </w:r>
          </w:p>
        </w:tc>
      </w:tr>
      <w:tr>
        <w:trPr>
          <w:cantSplit/>
        </w:trPr>
        <w:tc>
          <w:tcPr>
            <w:tcW w:type="dxa" w:w="2160"/>
          </w:tcPr>
          <w:p>
            <w:pPr>
              <w:spacing w:after="80" w:before="60"/>
            </w:pPr>
            <w:r>
              <w:rPr>
                <w:sz w:val="19"/>
              </w:rPr>
              <w:t>Gross proceeds</w:t>
            </w:r>
          </w:p>
        </w:tc>
        <w:tc>
          <w:tcPr>
            <w:tcW w:type="dxa" w:w="3816"/>
          </w:tcPr>
          <w:p>
            <w:pPr>
              <w:spacing w:after="80" w:before="60"/>
            </w:pPr>
            <w:r>
              <w:rPr>
                <w:sz w:val="19"/>
              </w:rPr>
              <w:t>Proceeds before the specified fees or deductions.</w:t>
            </w:r>
          </w:p>
        </w:tc>
        <w:tc>
          <w:tcPr>
            <w:tcW w:type="dxa" w:w="4248"/>
          </w:tcPr>
          <w:p>
            <w:pPr>
              <w:spacing w:after="80" w:before="60"/>
            </w:pPr>
            <w:r>
              <w:rPr>
                <w:sz w:val="19"/>
              </w:rPr>
              <w:t>Can determine round size or trigger thresholds; record the exact inclusion definition.</w:t>
            </w:r>
          </w:p>
        </w:tc>
      </w:tr>
      <w:tr>
        <w:trPr>
          <w:cantSplit/>
        </w:trPr>
        <w:tc>
          <w:tcPr>
            <w:tcW w:type="dxa" w:w="2160"/>
          </w:tcPr>
          <w:p>
            <w:pPr>
              <w:spacing w:after="80" w:before="60"/>
            </w:pPr>
            <w:r>
              <w:rPr>
                <w:sz w:val="19"/>
              </w:rPr>
              <w:t>Net proceeds</w:t>
            </w:r>
          </w:p>
        </w:tc>
        <w:tc>
          <w:tcPr>
            <w:tcW w:type="dxa" w:w="3816"/>
          </w:tcPr>
          <w:p>
            <w:pPr>
              <w:spacing w:after="80" w:before="60"/>
            </w:pPr>
            <w:r>
              <w:rPr>
                <w:sz w:val="19"/>
              </w:rPr>
              <w:t>Proceeds after specified deductions.</w:t>
            </w:r>
          </w:p>
        </w:tc>
        <w:tc>
          <w:tcPr>
            <w:tcW w:type="dxa" w:w="4248"/>
          </w:tcPr>
          <w:p>
            <w:pPr>
              <w:spacing w:after="80" w:before="60"/>
            </w:pPr>
            <w:r>
              <w:rPr>
                <w:sz w:val="19"/>
              </w:rPr>
              <w:t>Used only after an explicit gross-to-net bridge; do not deduct the same item twice.</w:t>
            </w:r>
          </w:p>
        </w:tc>
      </w:tr>
      <w:tr>
        <w:trPr>
          <w:cantSplit/>
        </w:trPr>
        <w:tc>
          <w:tcPr>
            <w:tcW w:type="dxa" w:w="2160"/>
          </w:tcPr>
          <w:p>
            <w:pPr>
              <w:spacing w:after="80" w:before="60"/>
            </w:pPr>
            <w:r>
              <w:rPr>
                <w:sz w:val="19"/>
              </w:rPr>
              <w:t>Transaction fees and expenses</w:t>
            </w:r>
          </w:p>
        </w:tc>
        <w:tc>
          <w:tcPr>
            <w:tcW w:type="dxa" w:w="3816"/>
          </w:tcPr>
          <w:p>
            <w:pPr>
              <w:spacing w:after="80" w:before="60"/>
            </w:pPr>
            <w:r>
              <w:rPr>
                <w:sz w:val="19"/>
              </w:rPr>
              <w:t>Agreed costs of a financing or sale.</w:t>
            </w:r>
          </w:p>
        </w:tc>
        <w:tc>
          <w:tcPr>
            <w:tcW w:type="dxa" w:w="4248"/>
          </w:tcPr>
          <w:p>
            <w:pPr>
              <w:spacing w:after="80" w:before="60"/>
            </w:pPr>
            <w:r>
              <w:rPr>
                <w:sz w:val="19"/>
              </w:rPr>
              <w:t>Can affect net cash or shareholder proceeds; not automatically additional investment shares.</w:t>
            </w:r>
          </w:p>
        </w:tc>
      </w:tr>
      <w:tr>
        <w:trPr>
          <w:cantSplit/>
        </w:trPr>
        <w:tc>
          <w:tcPr>
            <w:tcW w:type="dxa" w:w="2160"/>
          </w:tcPr>
          <w:p>
            <w:pPr>
              <w:spacing w:after="80" w:before="60"/>
            </w:pPr>
            <w:r>
              <w:rPr>
                <w:sz w:val="19"/>
              </w:rPr>
              <w:t>Noncash consideration</w:t>
            </w:r>
          </w:p>
        </w:tc>
        <w:tc>
          <w:tcPr>
            <w:tcW w:type="dxa" w:w="3816"/>
          </w:tcPr>
          <w:p>
            <w:pPr>
              <w:spacing w:after="80" w:before="60"/>
            </w:pPr>
            <w:r>
              <w:rPr>
                <w:sz w:val="19"/>
              </w:rPr>
              <w:t>An agreed form of payment other than cash, such as property, services or exchanged securities.</w:t>
            </w:r>
          </w:p>
        </w:tc>
        <w:tc>
          <w:tcPr>
            <w:tcW w:type="dxa" w:w="4248"/>
          </w:tcPr>
          <w:p>
            <w:pPr>
              <w:spacing w:after="80" w:before="60"/>
            </w:pPr>
            <w:r>
              <w:rPr>
                <w:sz w:val="19"/>
              </w:rPr>
              <w:t>Requires an approved value and allocation rule before deriving shares or anti-dilution inputs.</w:t>
            </w:r>
          </w:p>
        </w:tc>
      </w:tr>
    </w:tbl>
    <w:p>
      <w:pPr>
        <w:spacing w:after="0"/>
      </w:pPr>
    </w:p>
    <w:p>
      <w:r>
        <w:br w:type="page"/>
      </w:r>
    </w:p>
    <w:p>
      <w:pPr>
        <w:pStyle w:val="Heading1"/>
      </w:pPr>
      <w:r>
        <w:t>T5 Closes commitments and financing structure</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Closing or financing close</w:t>
            </w:r>
          </w:p>
        </w:tc>
        <w:tc>
          <w:tcPr>
            <w:tcW w:type="dxa" w:w="3816"/>
          </w:tcPr>
          <w:p>
            <w:pPr>
              <w:spacing w:after="80" w:before="60"/>
            </w:pPr>
            <w:r>
              <w:rPr>
                <w:sz w:val="19"/>
              </w:rPr>
              <w:t>The actual completion point for a financing transaction or defined tranche.</w:t>
            </w:r>
          </w:p>
        </w:tc>
        <w:tc>
          <w:tcPr>
            <w:tcW w:type="dxa" w:w="4248"/>
          </w:tcPr>
          <w:p>
            <w:pPr>
              <w:spacing w:after="80" w:before="60"/>
            </w:pPr>
            <w:r>
              <w:rPr>
                <w:sz w:val="19"/>
              </w:rPr>
              <w:t>Use its confirmed date/order to evaluate triggers and price effective holdings.</w:t>
            </w:r>
          </w:p>
        </w:tc>
      </w:tr>
      <w:tr>
        <w:trPr>
          <w:cantSplit/>
        </w:trPr>
        <w:tc>
          <w:tcPr>
            <w:tcW w:type="dxa" w:w="2160"/>
          </w:tcPr>
          <w:p>
            <w:pPr>
              <w:spacing w:after="80" w:before="60"/>
            </w:pPr>
            <w:r>
              <w:rPr>
                <w:sz w:val="19"/>
              </w:rPr>
              <w:t>Initial close and subsequent close</w:t>
            </w:r>
          </w:p>
        </w:tc>
        <w:tc>
          <w:tcPr>
            <w:tcW w:type="dxa" w:w="3816"/>
          </w:tcPr>
          <w:p>
            <w:pPr>
              <w:spacing w:after="80" w:before="60"/>
            </w:pPr>
            <w:r>
              <w:rPr>
                <w:sz w:val="19"/>
              </w:rPr>
              <w:t>The first and later closings within a financing.</w:t>
            </w:r>
          </w:p>
        </w:tc>
        <w:tc>
          <w:tcPr>
            <w:tcW w:type="dxa" w:w="4248"/>
          </w:tcPr>
          <w:p>
            <w:pPr>
              <w:spacing w:after="80" w:before="60"/>
            </w:pPr>
            <w:r>
              <w:rPr>
                <w:sz w:val="19"/>
              </w:rPr>
              <w:t>Each close may have different timing or inclusion rules for conversions and proceeds thresholds.</w:t>
            </w:r>
          </w:p>
        </w:tc>
      </w:tr>
      <w:tr>
        <w:trPr>
          <w:cantSplit/>
        </w:trPr>
        <w:tc>
          <w:tcPr>
            <w:tcW w:type="dxa" w:w="2160"/>
          </w:tcPr>
          <w:p>
            <w:pPr>
              <w:spacing w:after="80" w:before="60"/>
            </w:pPr>
            <w:r>
              <w:rPr>
                <w:sz w:val="19"/>
              </w:rPr>
              <w:t>Commitment</w:t>
            </w:r>
          </w:p>
        </w:tc>
        <w:tc>
          <w:tcPr>
            <w:tcW w:type="dxa" w:w="3816"/>
          </w:tcPr>
          <w:p>
            <w:pPr>
              <w:spacing w:after="80" w:before="60"/>
            </w:pPr>
            <w:r>
              <w:rPr>
                <w:sz w:val="19"/>
              </w:rPr>
              <w:t>A promise to invest, which may still be unfunded.</w:t>
            </w:r>
          </w:p>
        </w:tc>
        <w:tc>
          <w:tcPr>
            <w:tcW w:type="dxa" w:w="4248"/>
          </w:tcPr>
          <w:p>
            <w:pPr>
              <w:spacing w:after="80" w:before="60"/>
            </w:pPr>
            <w:r>
              <w:rPr>
                <w:sz w:val="19"/>
              </w:rPr>
              <w:t>Do not accrue loan interest or issue funded-investment quantities merely from a commitment.</w:t>
            </w:r>
          </w:p>
        </w:tc>
      </w:tr>
      <w:tr>
        <w:trPr>
          <w:cantSplit/>
        </w:trPr>
        <w:tc>
          <w:tcPr>
            <w:tcW w:type="dxa" w:w="2160"/>
          </w:tcPr>
          <w:p>
            <w:pPr>
              <w:spacing w:after="80" w:before="60"/>
            </w:pPr>
            <w:r>
              <w:rPr>
                <w:sz w:val="19"/>
              </w:rPr>
              <w:t>Funded amount</w:t>
            </w:r>
          </w:p>
        </w:tc>
        <w:tc>
          <w:tcPr>
            <w:tcW w:type="dxa" w:w="3816"/>
          </w:tcPr>
          <w:p>
            <w:pPr>
              <w:spacing w:after="80" w:before="60"/>
            </w:pPr>
            <w:r>
              <w:rPr>
                <w:sz w:val="19"/>
              </w:rPr>
              <w:t>Money actually advanced under the agreed funding facts.</w:t>
            </w:r>
          </w:p>
        </w:tc>
        <w:tc>
          <w:tcPr>
            <w:tcW w:type="dxa" w:w="4248"/>
          </w:tcPr>
          <w:p>
            <w:pPr>
              <w:spacing w:after="80" w:before="60"/>
            </w:pPr>
            <w:r>
              <w:rPr>
                <w:sz w:val="19"/>
              </w:rPr>
              <w:t>Feeds eligible principal, investment balances and applicable financing thresholds.</w:t>
            </w:r>
          </w:p>
        </w:tc>
      </w:tr>
      <w:tr>
        <w:trPr>
          <w:cantSplit/>
        </w:trPr>
        <w:tc>
          <w:tcPr>
            <w:tcW w:type="dxa" w:w="2160"/>
          </w:tcPr>
          <w:p>
            <w:pPr>
              <w:spacing w:after="80" w:before="60"/>
            </w:pPr>
            <w:r>
              <w:rPr>
                <w:sz w:val="19"/>
              </w:rPr>
              <w:t>Tranche</w:t>
            </w:r>
          </w:p>
        </w:tc>
        <w:tc>
          <w:tcPr>
            <w:tcW w:type="dxa" w:w="3816"/>
          </w:tcPr>
          <w:p>
            <w:pPr>
              <w:spacing w:after="80" w:before="60"/>
            </w:pPr>
            <w:r>
              <w:rPr>
                <w:sz w:val="19"/>
              </w:rPr>
              <w:t>A defined portion of an investment funded at a time or after specified conditions.</w:t>
            </w:r>
          </w:p>
        </w:tc>
        <w:tc>
          <w:tcPr>
            <w:tcW w:type="dxa" w:w="4248"/>
          </w:tcPr>
          <w:p>
            <w:pPr>
              <w:spacing w:after="80" w:before="60"/>
            </w:pPr>
            <w:r>
              <w:rPr>
                <w:sz w:val="19"/>
              </w:rPr>
              <w:t>Model funding and price per tranche; an unfunded tranche is not recognized cash.</w:t>
            </w:r>
          </w:p>
        </w:tc>
      </w:tr>
      <w:tr>
        <w:trPr>
          <w:cantSplit/>
        </w:trPr>
        <w:tc>
          <w:tcPr>
            <w:tcW w:type="dxa" w:w="2160"/>
          </w:tcPr>
          <w:p>
            <w:pPr>
              <w:spacing w:after="80" w:before="60"/>
            </w:pPr>
            <w:r>
              <w:rPr>
                <w:sz w:val="19"/>
              </w:rPr>
              <w:t>Milestone</w:t>
            </w:r>
          </w:p>
        </w:tc>
        <w:tc>
          <w:tcPr>
            <w:tcW w:type="dxa" w:w="3816"/>
          </w:tcPr>
          <w:p>
            <w:pPr>
              <w:spacing w:after="80" w:before="60"/>
            </w:pPr>
            <w:r>
              <w:rPr>
                <w:sz w:val="19"/>
              </w:rPr>
              <w:t>A business or contractual condition that must be met for a defined action.</w:t>
            </w:r>
          </w:p>
        </w:tc>
        <w:tc>
          <w:tcPr>
            <w:tcW w:type="dxa" w:w="4248"/>
          </w:tcPr>
          <w:p>
            <w:pPr>
              <w:spacing w:after="80" w:before="60"/>
            </w:pPr>
            <w:r>
              <w:rPr>
                <w:sz w:val="19"/>
              </w:rPr>
              <w:t>May unlock a tranche, award release or pricing adjustment; evidence must establish satisfaction.</w:t>
            </w:r>
          </w:p>
        </w:tc>
      </w:tr>
      <w:tr>
        <w:trPr>
          <w:cantSplit/>
        </w:trPr>
        <w:tc>
          <w:tcPr>
            <w:tcW w:type="dxa" w:w="2160"/>
          </w:tcPr>
          <w:p>
            <w:pPr>
              <w:spacing w:after="80" w:before="60"/>
            </w:pPr>
            <w:r>
              <w:rPr>
                <w:sz w:val="19"/>
              </w:rPr>
              <w:t>Minimum financing threshold</w:t>
            </w:r>
          </w:p>
        </w:tc>
        <w:tc>
          <w:tcPr>
            <w:tcW w:type="dxa" w:w="3816"/>
          </w:tcPr>
          <w:p>
            <w:pPr>
              <w:spacing w:after="80" w:before="60"/>
            </w:pPr>
            <w:r>
              <w:rPr>
                <w:sz w:val="19"/>
              </w:rPr>
              <w:t>A contract-defined minimum amount required for a qualifying financing.</w:t>
            </w:r>
          </w:p>
        </w:tc>
        <w:tc>
          <w:tcPr>
            <w:tcW w:type="dxa" w:w="4248"/>
          </w:tcPr>
          <w:p>
            <w:pPr>
              <w:spacing w:after="80" w:before="60"/>
            </w:pPr>
            <w:r>
              <w:rPr>
                <w:sz w:val="19"/>
              </w:rPr>
              <w:t>Trigger service sums only the permitted proceeds and closing set.</w:t>
            </w:r>
          </w:p>
        </w:tc>
      </w:tr>
      <w:tr>
        <w:trPr>
          <w:cantSplit/>
        </w:trPr>
        <w:tc>
          <w:tcPr>
            <w:tcW w:type="dxa" w:w="2160"/>
          </w:tcPr>
          <w:p>
            <w:pPr>
              <w:spacing w:after="80" w:before="60"/>
            </w:pPr>
            <w:r>
              <w:rPr>
                <w:sz w:val="19"/>
              </w:rPr>
              <w:t>Qualified financing</w:t>
            </w:r>
          </w:p>
        </w:tc>
        <w:tc>
          <w:tcPr>
            <w:tcW w:type="dxa" w:w="3816"/>
          </w:tcPr>
          <w:p>
            <w:pPr>
              <w:spacing w:after="80" w:before="60"/>
            </w:pPr>
            <w:r>
              <w:rPr>
                <w:sz w:val="19"/>
              </w:rPr>
              <w:t>A financing meeting the exact conditions specified in an instrument.</w:t>
            </w:r>
          </w:p>
        </w:tc>
        <w:tc>
          <w:tcPr>
            <w:tcW w:type="dxa" w:w="4248"/>
          </w:tcPr>
          <w:p>
            <w:pPr>
              <w:spacing w:after="80" w:before="60"/>
            </w:pPr>
            <w:r>
              <w:rPr>
                <w:sz w:val="19"/>
              </w:rPr>
              <w:t>May activate conversion or other rights; a Series A label does not establish qualification.</w:t>
            </w:r>
          </w:p>
        </w:tc>
      </w:tr>
      <w:tr>
        <w:trPr>
          <w:cantSplit/>
        </w:trPr>
        <w:tc>
          <w:tcPr>
            <w:tcW w:type="dxa" w:w="2160"/>
          </w:tcPr>
          <w:p>
            <w:pPr>
              <w:spacing w:after="80" w:before="60"/>
            </w:pPr>
            <w:r>
              <w:rPr>
                <w:sz w:val="19"/>
              </w:rPr>
              <w:t>Bridge financing</w:t>
            </w:r>
          </w:p>
        </w:tc>
        <w:tc>
          <w:tcPr>
            <w:tcW w:type="dxa" w:w="3816"/>
          </w:tcPr>
          <w:p>
            <w:pPr>
              <w:spacing w:after="80" w:before="60"/>
            </w:pPr>
            <w:r>
              <w:rPr>
                <w:sz w:val="19"/>
              </w:rPr>
              <w:t>Interim funding intended to cover a period before another financing or event.</w:t>
            </w:r>
          </w:p>
        </w:tc>
        <w:tc>
          <w:tcPr>
            <w:tcW w:type="dxa" w:w="4248"/>
          </w:tcPr>
          <w:p>
            <w:pPr>
              <w:spacing w:after="80" w:before="60"/>
            </w:pPr>
            <w:r>
              <w:rPr>
                <w:sz w:val="19"/>
              </w:rPr>
              <w:t>Record its actual instrument terms; bridge is a purpose label, not a conversion formula.</w:t>
            </w:r>
          </w:p>
        </w:tc>
      </w:tr>
      <w:tr>
        <w:trPr>
          <w:cantSplit/>
        </w:trPr>
        <w:tc>
          <w:tcPr>
            <w:tcW w:type="dxa" w:w="2160"/>
          </w:tcPr>
          <w:p>
            <w:pPr>
              <w:spacing w:after="80" w:before="60"/>
            </w:pPr>
            <w:r>
              <w:rPr>
                <w:sz w:val="19"/>
              </w:rPr>
              <w:t>Down round</w:t>
            </w:r>
          </w:p>
        </w:tc>
        <w:tc>
          <w:tcPr>
            <w:tcW w:type="dxa" w:w="3816"/>
          </w:tcPr>
          <w:p>
            <w:pPr>
              <w:spacing w:after="80" w:before="60"/>
            </w:pPr>
            <w:r>
              <w:rPr>
                <w:sz w:val="19"/>
              </w:rPr>
              <w:t>A round with a lower price or valuation than the relevant comparison under a stated basis.</w:t>
            </w:r>
          </w:p>
        </w:tc>
        <w:tc>
          <w:tcPr>
            <w:tcW w:type="dxa" w:w="4248"/>
          </w:tcPr>
          <w:p>
            <w:pPr>
              <w:spacing w:after="80" w:before="60"/>
            </w:pPr>
            <w:r>
              <w:rPr>
                <w:sz w:val="19"/>
              </w:rPr>
              <w:t>May activate confirmed anti-dilution terms; distinguish share price from headline valuation.</w:t>
            </w:r>
          </w:p>
        </w:tc>
      </w:tr>
      <w:tr>
        <w:trPr>
          <w:cantSplit/>
        </w:trPr>
        <w:tc>
          <w:tcPr>
            <w:tcW w:type="dxa" w:w="2160"/>
          </w:tcPr>
          <w:p>
            <w:pPr>
              <w:spacing w:after="80" w:before="60"/>
            </w:pPr>
            <w:r>
              <w:rPr>
                <w:sz w:val="19"/>
              </w:rPr>
              <w:t>Up round and flat round</w:t>
            </w:r>
          </w:p>
        </w:tc>
        <w:tc>
          <w:tcPr>
            <w:tcW w:type="dxa" w:w="3816"/>
          </w:tcPr>
          <w:p>
            <w:pPr>
              <w:spacing w:after="80" w:before="60"/>
            </w:pPr>
            <w:r>
              <w:rPr>
                <w:sz w:val="19"/>
              </w:rPr>
              <w:t>A round above or similar to a defined comparison price or valuation.</w:t>
            </w:r>
          </w:p>
        </w:tc>
        <w:tc>
          <w:tcPr>
            <w:tcW w:type="dxa" w:w="4248"/>
          </w:tcPr>
          <w:p>
            <w:pPr>
              <w:spacing w:after="80" w:before="60"/>
            </w:pPr>
            <w:r>
              <w:rPr>
                <w:sz w:val="19"/>
              </w:rPr>
              <w:t>Scenario labels; calculations still need exact prices, capital bases and included rights.</w:t>
            </w:r>
          </w:p>
        </w:tc>
      </w:tr>
      <w:tr>
        <w:trPr>
          <w:cantSplit/>
        </w:trPr>
        <w:tc>
          <w:tcPr>
            <w:tcW w:type="dxa" w:w="2160"/>
          </w:tcPr>
          <w:p>
            <w:pPr>
              <w:spacing w:after="80" w:before="60"/>
            </w:pPr>
            <w:r>
              <w:rPr>
                <w:sz w:val="19"/>
              </w:rPr>
              <w:t>Oversubscription</w:t>
            </w:r>
          </w:p>
        </w:tc>
        <w:tc>
          <w:tcPr>
            <w:tcW w:type="dxa" w:w="3816"/>
          </w:tcPr>
          <w:p>
            <w:pPr>
              <w:spacing w:after="80" w:before="60"/>
            </w:pPr>
            <w:r>
              <w:rPr>
                <w:sz w:val="19"/>
              </w:rPr>
              <w:t>Investment demand exceeding the offered allocation.</w:t>
            </w:r>
          </w:p>
        </w:tc>
        <w:tc>
          <w:tcPr>
            <w:tcW w:type="dxa" w:w="4248"/>
          </w:tcPr>
          <w:p>
            <w:pPr>
              <w:spacing w:after="80" w:before="60"/>
            </w:pPr>
            <w:r>
              <w:rPr>
                <w:sz w:val="19"/>
              </w:rPr>
              <w:t>Allocate using confirmed caps, priorities and elections rather than proportionally by default.</w:t>
            </w:r>
          </w:p>
        </w:tc>
      </w:tr>
    </w:tbl>
    <w:p>
      <w:pPr>
        <w:spacing w:after="0"/>
      </w:pPr>
    </w:p>
    <w:p>
      <w:r>
        <w:br w:type="page"/>
      </w:r>
    </w:p>
    <w:p>
      <w:pPr>
        <w:pStyle w:val="Heading1"/>
      </w:pPr>
      <w:r>
        <w:t>T6 SAFEs and other convertible agreements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SAFE</w:t>
            </w:r>
          </w:p>
        </w:tc>
        <w:tc>
          <w:tcPr>
            <w:tcW w:type="dxa" w:w="3816"/>
          </w:tcPr>
          <w:p>
            <w:pPr>
              <w:spacing w:after="80" w:before="60"/>
            </w:pPr>
            <w:r>
              <w:rPr>
                <w:sz w:val="19"/>
              </w:rPr>
              <w:t>Simple Agreement for Future Equity: an agreement with defined future equity or event-specific treatment.</w:t>
            </w:r>
          </w:p>
        </w:tc>
        <w:tc>
          <w:tcPr>
            <w:tcW w:type="dxa" w:w="4248"/>
          </w:tcPr>
          <w:p>
            <w:pPr>
              <w:spacing w:after="80" w:before="60"/>
            </w:pPr>
            <w:r>
              <w:rPr>
                <w:sz w:val="19"/>
              </w:rPr>
              <w:t>Track its purchase amount and actual conversion/liquidity terms separately from issued shares.</w:t>
            </w:r>
          </w:p>
        </w:tc>
      </w:tr>
      <w:tr>
        <w:trPr>
          <w:cantSplit/>
        </w:trPr>
        <w:tc>
          <w:tcPr>
            <w:tcW w:type="dxa" w:w="2160"/>
          </w:tcPr>
          <w:p>
            <w:pPr>
              <w:spacing w:after="80" w:before="60"/>
            </w:pPr>
            <w:r>
              <w:rPr>
                <w:sz w:val="19"/>
              </w:rPr>
              <w:t>Purchase amount</w:t>
            </w:r>
          </w:p>
        </w:tc>
        <w:tc>
          <w:tcPr>
            <w:tcW w:type="dxa" w:w="3816"/>
          </w:tcPr>
          <w:p>
            <w:pPr>
              <w:spacing w:after="80" w:before="60"/>
            </w:pPr>
            <w:r>
              <w:rPr>
                <w:sz w:val="19"/>
              </w:rPr>
              <w:t>The money amount invested under an agreement such as a SAFE.</w:t>
            </w:r>
          </w:p>
        </w:tc>
        <w:tc>
          <w:tcPr>
            <w:tcW w:type="dxa" w:w="4248"/>
          </w:tcPr>
          <w:p>
            <w:pPr>
              <w:spacing w:after="80" w:before="60"/>
            </w:pPr>
            <w:r>
              <w:rPr>
                <w:sz w:val="19"/>
              </w:rPr>
              <w:t>May be an eligible conversion amount or payout base under confirmed terms.</w:t>
            </w:r>
          </w:p>
        </w:tc>
      </w:tr>
      <w:tr>
        <w:trPr>
          <w:cantSplit/>
        </w:trPr>
        <w:tc>
          <w:tcPr>
            <w:tcW w:type="dxa" w:w="2160"/>
          </w:tcPr>
          <w:p>
            <w:pPr>
              <w:spacing w:after="80" w:before="60"/>
            </w:pPr>
            <w:r>
              <w:rPr>
                <w:sz w:val="19"/>
              </w:rPr>
              <w:t>Pre-money SAFE</w:t>
            </w:r>
          </w:p>
        </w:tc>
        <w:tc>
          <w:tcPr>
            <w:tcW w:type="dxa" w:w="3816"/>
          </w:tcPr>
          <w:p>
            <w:pPr>
              <w:spacing w:after="80" w:before="60"/>
            </w:pPr>
            <w:r>
              <w:rPr>
                <w:sz w:val="19"/>
              </w:rPr>
              <w:t>A SAFE using a pre-money form and its specified capitalization definition.</w:t>
            </w:r>
          </w:p>
        </w:tc>
        <w:tc>
          <w:tcPr>
            <w:tcW w:type="dxa" w:w="4248"/>
          </w:tcPr>
          <w:p>
            <w:pPr>
              <w:spacing w:after="80" w:before="60"/>
            </w:pPr>
            <w:r>
              <w:rPr>
                <w:sz w:val="19"/>
              </w:rPr>
              <w:t>Its share-base inclusions can differ from post-money forms; select the matching coded module.</w:t>
            </w:r>
          </w:p>
        </w:tc>
      </w:tr>
      <w:tr>
        <w:trPr>
          <w:cantSplit/>
        </w:trPr>
        <w:tc>
          <w:tcPr>
            <w:tcW w:type="dxa" w:w="2160"/>
          </w:tcPr>
          <w:p>
            <w:pPr>
              <w:spacing w:after="80" w:before="60"/>
            </w:pPr>
            <w:r>
              <w:rPr>
                <w:sz w:val="19"/>
              </w:rPr>
              <w:t>Post-money SAFE</w:t>
            </w:r>
          </w:p>
        </w:tc>
        <w:tc>
          <w:tcPr>
            <w:tcW w:type="dxa" w:w="3816"/>
          </w:tcPr>
          <w:p>
            <w:pPr>
              <w:spacing w:after="80" w:before="60"/>
            </w:pPr>
            <w:r>
              <w:rPr>
                <w:sz w:val="19"/>
              </w:rPr>
              <w:t>A SAFE using a post-money form and its specified capitalization definition.</w:t>
            </w:r>
          </w:p>
        </w:tc>
        <w:tc>
          <w:tcPr>
            <w:tcW w:type="dxa" w:w="4248"/>
          </w:tcPr>
          <w:p>
            <w:pPr>
              <w:spacing w:after="80" w:before="60"/>
            </w:pPr>
            <w:r>
              <w:rPr>
                <w:sz w:val="19"/>
              </w:rPr>
              <w:t>May create equations involving other converting securities; do not assume a fixed ownership guarantee.</w:t>
            </w:r>
          </w:p>
        </w:tc>
      </w:tr>
      <w:tr>
        <w:trPr>
          <w:cantSplit/>
        </w:trPr>
        <w:tc>
          <w:tcPr>
            <w:tcW w:type="dxa" w:w="2160"/>
          </w:tcPr>
          <w:p>
            <w:pPr>
              <w:spacing w:after="80" w:before="60"/>
            </w:pPr>
            <w:r>
              <w:rPr>
                <w:sz w:val="19"/>
              </w:rPr>
              <w:t>Valuation cap</w:t>
            </w:r>
          </w:p>
        </w:tc>
        <w:tc>
          <w:tcPr>
            <w:tcW w:type="dxa" w:w="3816"/>
          </w:tcPr>
          <w:p>
            <w:pPr>
              <w:spacing w:after="80" w:before="60"/>
            </w:pPr>
            <w:r>
              <w:rPr>
                <w:sz w:val="19"/>
              </w:rPr>
              <w:t>A contractual value used to determine a permitted conversion-price branch.</w:t>
            </w:r>
          </w:p>
        </w:tc>
        <w:tc>
          <w:tcPr>
            <w:tcW w:type="dxa" w:w="4248"/>
          </w:tcPr>
          <w:p>
            <w:pPr>
              <w:spacing w:after="80" w:before="60"/>
            </w:pPr>
            <w:r>
              <w:rPr>
                <w:sz w:val="19"/>
              </w:rPr>
              <w:t>Cap divided by the contract-defined capitalization gives the cap price where that formula applies.</w:t>
            </w:r>
          </w:p>
        </w:tc>
      </w:tr>
      <w:tr>
        <w:trPr>
          <w:cantSplit/>
        </w:trPr>
        <w:tc>
          <w:tcPr>
            <w:tcW w:type="dxa" w:w="2160"/>
          </w:tcPr>
          <w:p>
            <w:pPr>
              <w:spacing w:after="80" w:before="60"/>
            </w:pPr>
            <w:r>
              <w:rPr>
                <w:sz w:val="19"/>
              </w:rPr>
              <w:t>Discount percentage</w:t>
            </w:r>
          </w:p>
        </w:tc>
        <w:tc>
          <w:tcPr>
            <w:tcW w:type="dxa" w:w="3816"/>
          </w:tcPr>
          <w:p>
            <w:pPr>
              <w:spacing w:after="80" w:before="60"/>
            </w:pPr>
            <w:r>
              <w:rPr>
                <w:sz w:val="19"/>
              </w:rPr>
              <w:t>The contractual reduction used in a permitted pricing comparison.</w:t>
            </w:r>
          </w:p>
        </w:tc>
        <w:tc>
          <w:tcPr>
            <w:tcW w:type="dxa" w:w="4248"/>
          </w:tcPr>
          <w:p>
            <w:pPr>
              <w:spacing w:after="80" w:before="60"/>
            </w:pPr>
            <w:r>
              <w:rPr>
                <w:sz w:val="19"/>
              </w:rPr>
              <w:t>A 20% price discount can imply an 80% multiplier when the agreement defines that relationship.</w:t>
            </w:r>
          </w:p>
        </w:tc>
      </w:tr>
      <w:tr>
        <w:trPr>
          <w:cantSplit/>
        </w:trPr>
        <w:tc>
          <w:tcPr>
            <w:tcW w:type="dxa" w:w="2160"/>
          </w:tcPr>
          <w:p>
            <w:pPr>
              <w:spacing w:after="80" w:before="60"/>
            </w:pPr>
            <w:r>
              <w:rPr>
                <w:sz w:val="19"/>
              </w:rPr>
              <w:t>Discount multiplier or discount rate</w:t>
            </w:r>
          </w:p>
        </w:tc>
        <w:tc>
          <w:tcPr>
            <w:tcW w:type="dxa" w:w="3816"/>
          </w:tcPr>
          <w:p>
            <w:pPr>
              <w:spacing w:after="80" w:before="60"/>
            </w:pPr>
            <w:r>
              <w:rPr>
                <w:sz w:val="19"/>
              </w:rPr>
              <w:t>The fraction applied to a reference price in a discount formula; document wording varies.</w:t>
            </w:r>
          </w:p>
        </w:tc>
        <w:tc>
          <w:tcPr>
            <w:tcW w:type="dxa" w:w="4248"/>
          </w:tcPr>
          <w:p>
            <w:pPr>
              <w:spacing w:after="80" w:before="60"/>
            </w:pPr>
            <w:r>
              <w:rPr>
                <w:sz w:val="19"/>
              </w:rPr>
              <w:t>Store its meaning explicitly; 0.80 as a multiplier is different from a 0.80 reduction.</w:t>
            </w:r>
          </w:p>
        </w:tc>
      </w:tr>
      <w:tr>
        <w:trPr>
          <w:cantSplit/>
        </w:trPr>
        <w:tc>
          <w:tcPr>
            <w:tcW w:type="dxa" w:w="2160"/>
          </w:tcPr>
          <w:p>
            <w:pPr>
              <w:spacing w:after="80" w:before="60"/>
            </w:pPr>
            <w:r>
              <w:rPr>
                <w:sz w:val="19"/>
              </w:rPr>
              <w:t>Uncapped instrument</w:t>
            </w:r>
          </w:p>
        </w:tc>
        <w:tc>
          <w:tcPr>
            <w:tcW w:type="dxa" w:w="3816"/>
          </w:tcPr>
          <w:p>
            <w:pPr>
              <w:spacing w:after="80" w:before="60"/>
            </w:pPr>
            <w:r>
              <w:rPr>
                <w:sz w:val="19"/>
              </w:rPr>
              <w:t>An instrument with no valuation-cap provision in its confirmed terms.</w:t>
            </w:r>
          </w:p>
        </w:tc>
        <w:tc>
          <w:tcPr>
            <w:tcW w:type="dxa" w:w="4248"/>
          </w:tcPr>
          <w:p>
            <w:pPr>
              <w:spacing w:after="80" w:before="60"/>
            </w:pPr>
            <w:r>
              <w:rPr>
                <w:sz w:val="19"/>
              </w:rPr>
              <w:t>Use other permitted branches; do not invent a cap or assume there is no conversion right.</w:t>
            </w:r>
          </w:p>
        </w:tc>
      </w:tr>
      <w:tr>
        <w:trPr>
          <w:cantSplit/>
        </w:trPr>
        <w:tc>
          <w:tcPr>
            <w:tcW w:type="dxa" w:w="2160"/>
          </w:tcPr>
          <w:p>
            <w:pPr>
              <w:spacing w:after="80" w:before="60"/>
            </w:pPr>
            <w:r>
              <w:rPr>
                <w:sz w:val="19"/>
              </w:rPr>
              <w:t>MFN or most favored nation</w:t>
            </w:r>
          </w:p>
        </w:tc>
        <w:tc>
          <w:tcPr>
            <w:tcW w:type="dxa" w:w="3816"/>
          </w:tcPr>
          <w:p>
            <w:pPr>
              <w:spacing w:after="80" w:before="60"/>
            </w:pPr>
            <w:r>
              <w:rPr>
                <w:sz w:val="19"/>
              </w:rPr>
              <w:t>A provision allowing defined later terms to be adopted under specified conditions.</w:t>
            </w:r>
          </w:p>
        </w:tc>
        <w:tc>
          <w:tcPr>
            <w:tcW w:type="dxa" w:w="4248"/>
          </w:tcPr>
          <w:p>
            <w:pPr>
              <w:spacing w:after="80" w:before="60"/>
            </w:pPr>
            <w:r>
              <w:rPr>
                <w:sz w:val="19"/>
              </w:rPr>
              <w:t>Needs eligible issuances, notice, election and amendment rules; not an automatic lowest-cap search.</w:t>
            </w:r>
          </w:p>
        </w:tc>
      </w:tr>
      <w:tr>
        <w:trPr>
          <w:cantSplit/>
        </w:trPr>
        <w:tc>
          <w:tcPr>
            <w:tcW w:type="dxa" w:w="2160"/>
          </w:tcPr>
          <w:p>
            <w:pPr>
              <w:spacing w:after="80" w:before="60"/>
            </w:pPr>
            <w:r>
              <w:rPr>
                <w:sz w:val="19"/>
              </w:rPr>
              <w:t>Side letter</w:t>
            </w:r>
          </w:p>
        </w:tc>
        <w:tc>
          <w:tcPr>
            <w:tcW w:type="dxa" w:w="3816"/>
          </w:tcPr>
          <w:p>
            <w:pPr>
              <w:spacing w:after="80" w:before="60"/>
            </w:pPr>
            <w:r>
              <w:rPr>
                <w:sz w:val="19"/>
              </w:rPr>
              <w:t>An additional agreement changing or adding rights for specified parties.</w:t>
            </w:r>
          </w:p>
        </w:tc>
        <w:tc>
          <w:tcPr>
            <w:tcW w:type="dxa" w:w="4248"/>
          </w:tcPr>
          <w:p>
            <w:pPr>
              <w:spacing w:after="80" w:before="60"/>
            </w:pPr>
            <w:r>
              <w:rPr>
                <w:sz w:val="19"/>
              </w:rPr>
              <w:t>Can modify pro rata, information or other inputs; resolve its scope and precedence.</w:t>
            </w:r>
          </w:p>
        </w:tc>
      </w:tr>
      <w:tr>
        <w:trPr>
          <w:cantSplit/>
        </w:trPr>
        <w:tc>
          <w:tcPr>
            <w:tcW w:type="dxa" w:w="2160"/>
          </w:tcPr>
          <w:p>
            <w:pPr>
              <w:spacing w:after="80" w:before="60"/>
            </w:pPr>
            <w:r>
              <w:rPr>
                <w:sz w:val="19"/>
              </w:rPr>
              <w:t>Convertible note</w:t>
            </w:r>
          </w:p>
        </w:tc>
        <w:tc>
          <w:tcPr>
            <w:tcW w:type="dxa" w:w="3816"/>
          </w:tcPr>
          <w:p>
            <w:pPr>
              <w:spacing w:after="80" w:before="60"/>
            </w:pPr>
            <w:r>
              <w:rPr>
                <w:sz w:val="19"/>
              </w:rPr>
              <w:t>A loan instrument with specified rights or obligations to convert into securities.</w:t>
            </w:r>
          </w:p>
        </w:tc>
        <w:tc>
          <w:tcPr>
            <w:tcW w:type="dxa" w:w="4248"/>
          </w:tcPr>
          <w:p>
            <w:pPr>
              <w:spacing w:after="80" w:before="60"/>
            </w:pPr>
            <w:r>
              <w:rPr>
                <w:sz w:val="19"/>
              </w:rPr>
              <w:t>Track principal and interest independently and use the actual trigger, pricing and settlement terms.</w:t>
            </w:r>
          </w:p>
        </w:tc>
      </w:tr>
      <w:tr>
        <w:trPr>
          <w:cantSplit/>
        </w:trPr>
        <w:tc>
          <w:tcPr>
            <w:tcW w:type="dxa" w:w="2160"/>
          </w:tcPr>
          <w:p>
            <w:pPr>
              <w:spacing w:after="80" w:before="60"/>
            </w:pPr>
            <w:r>
              <w:rPr>
                <w:sz w:val="19"/>
              </w:rPr>
              <w:t>KISS or other convertible form</w:t>
            </w:r>
          </w:p>
        </w:tc>
        <w:tc>
          <w:tcPr>
            <w:tcW w:type="dxa" w:w="3816"/>
          </w:tcPr>
          <w:p>
            <w:pPr>
              <w:spacing w:after="80" w:before="60"/>
            </w:pPr>
            <w:r>
              <w:rPr>
                <w:sz w:val="19"/>
              </w:rPr>
              <w:t>A named alternative form of early-stage investment agreement that may have debt or equity variants.</w:t>
            </w:r>
          </w:p>
        </w:tc>
        <w:tc>
          <w:tcPr>
            <w:tcW w:type="dxa" w:w="4248"/>
          </w:tcPr>
          <w:p>
            <w:pPr>
              <w:spacing w:after="80" w:before="60"/>
            </w:pPr>
            <w:r>
              <w:rPr>
                <w:sz w:val="19"/>
              </w:rPr>
              <w:t>Record the reviewed form and features; its name does not select a generic SAFE formula.</w:t>
            </w:r>
          </w:p>
        </w:tc>
      </w:tr>
    </w:tbl>
    <w:p>
      <w:pPr>
        <w:spacing w:after="0"/>
      </w:pPr>
    </w:p>
    <w:p>
      <w:r>
        <w:br w:type="page"/>
      </w:r>
    </w:p>
    <w:p>
      <w:pPr>
        <w:pStyle w:val="Heading1"/>
      </w:pPr>
      <w:r>
        <w:t>T7 Conversion calculations and lifecycle states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Conversion right</w:t>
            </w:r>
          </w:p>
        </w:tc>
        <w:tc>
          <w:tcPr>
            <w:tcW w:type="dxa" w:w="3816"/>
          </w:tcPr>
          <w:p>
            <w:pPr>
              <w:spacing w:after="80" w:before="60"/>
            </w:pPr>
            <w:r>
              <w:rPr>
                <w:sz w:val="19"/>
              </w:rPr>
              <w:t>The contractual right or obligation to exchange an instrument for specified securities.</w:t>
            </w:r>
          </w:p>
        </w:tc>
        <w:tc>
          <w:tcPr>
            <w:tcW w:type="dxa" w:w="4248"/>
          </w:tcPr>
          <w:p>
            <w:pPr>
              <w:spacing w:after="80" w:before="60"/>
            </w:pPr>
            <w:r>
              <w:rPr>
                <w:sz w:val="19"/>
              </w:rPr>
              <w:t>Defines target class, holder choices and permitted conversion outcomes.</w:t>
            </w:r>
          </w:p>
        </w:tc>
      </w:tr>
      <w:tr>
        <w:trPr>
          <w:cantSplit/>
        </w:trPr>
        <w:tc>
          <w:tcPr>
            <w:tcW w:type="dxa" w:w="2160"/>
          </w:tcPr>
          <w:p>
            <w:pPr>
              <w:spacing w:after="80" w:before="60"/>
            </w:pPr>
            <w:r>
              <w:rPr>
                <w:sz w:val="19"/>
              </w:rPr>
              <w:t>Conversion trigger</w:t>
            </w:r>
          </w:p>
        </w:tc>
        <w:tc>
          <w:tcPr>
            <w:tcW w:type="dxa" w:w="3816"/>
          </w:tcPr>
          <w:p>
            <w:pPr>
              <w:spacing w:after="80" w:before="60"/>
            </w:pPr>
            <w:r>
              <w:rPr>
                <w:sz w:val="19"/>
              </w:rPr>
              <w:t>The event and conditions activating a conversion right.</w:t>
            </w:r>
          </w:p>
        </w:tc>
        <w:tc>
          <w:tcPr>
            <w:tcW w:type="dxa" w:w="4248"/>
          </w:tcPr>
          <w:p>
            <w:pPr>
              <w:spacing w:after="80" w:before="60"/>
            </w:pPr>
            <w:r>
              <w:rPr>
                <w:sz w:val="19"/>
              </w:rPr>
              <w:t>Evaluate timing, thresholds, issuer, consents and elections before pricing.</w:t>
            </w:r>
          </w:p>
        </w:tc>
      </w:tr>
      <w:tr>
        <w:trPr>
          <w:cantSplit/>
        </w:trPr>
        <w:tc>
          <w:tcPr>
            <w:tcW w:type="dxa" w:w="2160"/>
          </w:tcPr>
          <w:p>
            <w:pPr>
              <w:spacing w:after="80" w:before="60"/>
            </w:pPr>
            <w:r>
              <w:rPr>
                <w:sz w:val="19"/>
              </w:rPr>
              <w:t>Conversion mechanism</w:t>
            </w:r>
          </w:p>
        </w:tc>
        <w:tc>
          <w:tcPr>
            <w:tcW w:type="dxa" w:w="3816"/>
          </w:tcPr>
          <w:p>
            <w:pPr>
              <w:spacing w:after="80" w:before="60"/>
            </w:pPr>
            <w:r>
              <w:rPr>
                <w:sz w:val="19"/>
              </w:rPr>
              <w:t>The rule describing how the converted amount and resulting securities are calculated.</w:t>
            </w:r>
          </w:p>
        </w:tc>
        <w:tc>
          <w:tcPr>
            <w:tcW w:type="dxa" w:w="4248"/>
          </w:tcPr>
          <w:p>
            <w:pPr>
              <w:spacing w:after="80" w:before="60"/>
            </w:pPr>
            <w:r>
              <w:rPr>
                <w:sz w:val="19"/>
              </w:rPr>
              <w:t>Selects the reviewed formula and required financial inputs.</w:t>
            </w:r>
          </w:p>
        </w:tc>
      </w:tr>
      <w:tr>
        <w:trPr>
          <w:cantSplit/>
        </w:trPr>
        <w:tc>
          <w:tcPr>
            <w:tcW w:type="dxa" w:w="2160"/>
          </w:tcPr>
          <w:p>
            <w:pPr>
              <w:spacing w:after="80" w:before="60"/>
            </w:pPr>
            <w:r>
              <w:rPr>
                <w:sz w:val="19"/>
              </w:rPr>
              <w:t>Conversion price</w:t>
            </w:r>
          </w:p>
        </w:tc>
        <w:tc>
          <w:tcPr>
            <w:tcW w:type="dxa" w:w="3816"/>
          </w:tcPr>
          <w:p>
            <w:pPr>
              <w:spacing w:after="80" w:before="60"/>
            </w:pPr>
            <w:r>
              <w:rPr>
                <w:sz w:val="19"/>
              </w:rPr>
              <w:t>The price applied to the eligible converted amount.</w:t>
            </w:r>
          </w:p>
        </w:tc>
        <w:tc>
          <w:tcPr>
            <w:tcW w:type="dxa" w:w="4248"/>
          </w:tcPr>
          <w:p>
            <w:pPr>
              <w:spacing w:after="80" w:before="60"/>
            </w:pPr>
            <w:r>
              <w:rPr>
                <w:sz w:val="19"/>
              </w:rPr>
              <w:t>For a simple branch, resulting shares equal eligible amount divided by price.</w:t>
            </w:r>
          </w:p>
        </w:tc>
      </w:tr>
      <w:tr>
        <w:trPr>
          <w:cantSplit/>
        </w:trPr>
        <w:tc>
          <w:tcPr>
            <w:tcW w:type="dxa" w:w="2160"/>
          </w:tcPr>
          <w:p>
            <w:pPr>
              <w:spacing w:after="80" w:before="60"/>
            </w:pPr>
            <w:r>
              <w:rPr>
                <w:sz w:val="19"/>
              </w:rPr>
              <w:t>SAFE price or cap price</w:t>
            </w:r>
          </w:p>
        </w:tc>
        <w:tc>
          <w:tcPr>
            <w:tcW w:type="dxa" w:w="3816"/>
          </w:tcPr>
          <w:p>
            <w:pPr>
              <w:spacing w:after="80" w:before="60"/>
            </w:pPr>
            <w:r>
              <w:rPr>
                <w:sz w:val="19"/>
              </w:rPr>
              <w:t>A form-defined conversion price, often derived from a valuation cap and named capitalization.</w:t>
            </w:r>
          </w:p>
        </w:tc>
        <w:tc>
          <w:tcPr>
            <w:tcW w:type="dxa" w:w="4248"/>
          </w:tcPr>
          <w:p>
            <w:pPr>
              <w:spacing w:after="80" w:before="60"/>
            </w:pPr>
            <w:r>
              <w:rPr>
                <w:sz w:val="19"/>
              </w:rPr>
              <w:t>Compare with other permitted branches using the exact contract; not a universal formula label.</w:t>
            </w:r>
          </w:p>
        </w:tc>
      </w:tr>
      <w:tr>
        <w:trPr>
          <w:cantSplit/>
        </w:trPr>
        <w:tc>
          <w:tcPr>
            <w:tcW w:type="dxa" w:w="2160"/>
          </w:tcPr>
          <w:p>
            <w:pPr>
              <w:spacing w:after="80" w:before="60"/>
            </w:pPr>
            <w:r>
              <w:rPr>
                <w:sz w:val="19"/>
              </w:rPr>
              <w:t>Conversion ratio</w:t>
            </w:r>
          </w:p>
        </w:tc>
        <w:tc>
          <w:tcPr>
            <w:tcW w:type="dxa" w:w="3816"/>
          </w:tcPr>
          <w:p>
            <w:pPr>
              <w:spacing w:after="80" w:before="60"/>
            </w:pPr>
            <w:r>
              <w:rPr>
                <w:sz w:val="19"/>
              </w:rPr>
              <w:t>The number of underlying shares obtainable for one unit of a convertible security.</w:t>
            </w:r>
          </w:p>
        </w:tc>
        <w:tc>
          <w:tcPr>
            <w:tcW w:type="dxa" w:w="4248"/>
          </w:tcPr>
          <w:p>
            <w:pPr>
              <w:spacing w:after="80" w:before="60"/>
            </w:pPr>
            <w:r>
              <w:rPr>
                <w:sz w:val="19"/>
              </w:rPr>
              <w:t>Feeds share-equivalent, voting and payout calculations; track adjustments through time.</w:t>
            </w:r>
          </w:p>
        </w:tc>
      </w:tr>
      <w:tr>
        <w:trPr>
          <w:cantSplit/>
        </w:trPr>
        <w:tc>
          <w:tcPr>
            <w:tcW w:type="dxa" w:w="2160"/>
          </w:tcPr>
          <w:p>
            <w:pPr>
              <w:spacing w:after="80" w:before="60"/>
            </w:pPr>
            <w:r>
              <w:rPr>
                <w:sz w:val="19"/>
              </w:rPr>
              <w:t>Shadow preferred or sub-series</w:t>
            </w:r>
          </w:p>
        </w:tc>
        <w:tc>
          <w:tcPr>
            <w:tcW w:type="dxa" w:w="3816"/>
          </w:tcPr>
          <w:p>
            <w:pPr>
              <w:spacing w:after="80" w:before="60"/>
            </w:pPr>
            <w:r>
              <w:rPr>
                <w:sz w:val="19"/>
              </w:rPr>
              <w:t>A separate resulting preferred class or series whose economic bases can differ from new-money shares.</w:t>
            </w:r>
          </w:p>
        </w:tc>
        <w:tc>
          <w:tcPr>
            <w:tcW w:type="dxa" w:w="4248"/>
          </w:tcPr>
          <w:p>
            <w:pPr>
              <w:spacing w:after="80" w:before="60"/>
            </w:pPr>
            <w:r>
              <w:rPr>
                <w:sz w:val="19"/>
              </w:rPr>
              <w:t>Preserves correct preference/dividend bases instead of multiplying discounted shares by the round price.</w:t>
            </w:r>
          </w:p>
        </w:tc>
      </w:tr>
      <w:tr>
        <w:trPr>
          <w:cantSplit/>
        </w:trPr>
        <w:tc>
          <w:tcPr>
            <w:tcW w:type="dxa" w:w="2160"/>
          </w:tcPr>
          <w:p>
            <w:pPr>
              <w:spacing w:after="80" w:before="60"/>
            </w:pPr>
            <w:r>
              <w:rPr>
                <w:sz w:val="19"/>
              </w:rPr>
              <w:t>Automatic conversion</w:t>
            </w:r>
          </w:p>
        </w:tc>
        <w:tc>
          <w:tcPr>
            <w:tcW w:type="dxa" w:w="3816"/>
          </w:tcPr>
          <w:p>
            <w:pPr>
              <w:spacing w:after="80" w:before="60"/>
            </w:pPr>
            <w:r>
              <w:rPr>
                <w:sz w:val="19"/>
              </w:rPr>
              <w:t>Conversion required when confirmed contractual conditions occur, without a separate discretionary election where not required.</w:t>
            </w:r>
          </w:p>
        </w:tc>
        <w:tc>
          <w:tcPr>
            <w:tcW w:type="dxa" w:w="4248"/>
          </w:tcPr>
          <w:p>
            <w:pPr>
              <w:spacing w:after="80" w:before="60"/>
            </w:pPr>
            <w:r>
              <w:rPr>
                <w:sz w:val="19"/>
              </w:rPr>
              <w:t>Trigger satisfaction still does not prove the application recorded the event.</w:t>
            </w:r>
          </w:p>
        </w:tc>
      </w:tr>
      <w:tr>
        <w:trPr>
          <w:cantSplit/>
        </w:trPr>
        <w:tc>
          <w:tcPr>
            <w:tcW w:type="dxa" w:w="2160"/>
          </w:tcPr>
          <w:p>
            <w:pPr>
              <w:spacing w:after="80" w:before="60"/>
            </w:pPr>
            <w:r>
              <w:rPr>
                <w:sz w:val="19"/>
              </w:rPr>
              <w:t>Optional or voluntary conversion</w:t>
            </w:r>
          </w:p>
        </w:tc>
        <w:tc>
          <w:tcPr>
            <w:tcW w:type="dxa" w:w="3816"/>
          </w:tcPr>
          <w:p>
            <w:pPr>
              <w:spacing w:after="80" w:before="60"/>
            </w:pPr>
            <w:r>
              <w:rPr>
                <w:sz w:val="19"/>
              </w:rPr>
              <w:t>Conversion that depends on a permitted holder or other party choice.</w:t>
            </w:r>
          </w:p>
        </w:tc>
        <w:tc>
          <w:tcPr>
            <w:tcW w:type="dxa" w:w="4248"/>
          </w:tcPr>
          <w:p>
            <w:pPr>
              <w:spacing w:after="80" w:before="60"/>
            </w:pPr>
            <w:r>
              <w:rPr>
                <w:sz w:val="19"/>
              </w:rPr>
              <w:t>Require the actual election for authoritative recording; scenarios may state an assumed choice.</w:t>
            </w:r>
          </w:p>
        </w:tc>
      </w:tr>
      <w:tr>
        <w:trPr>
          <w:cantSplit/>
        </w:trPr>
        <w:tc>
          <w:tcPr>
            <w:tcW w:type="dxa" w:w="2160"/>
          </w:tcPr>
          <w:p>
            <w:pPr>
              <w:spacing w:after="80" w:before="60"/>
            </w:pPr>
            <w:r>
              <w:rPr>
                <w:sz w:val="19"/>
              </w:rPr>
              <w:t>Partial conversion</w:t>
            </w:r>
          </w:p>
        </w:tc>
        <w:tc>
          <w:tcPr>
            <w:tcW w:type="dxa" w:w="3816"/>
          </w:tcPr>
          <w:p>
            <w:pPr>
              <w:spacing w:after="80" w:before="60"/>
            </w:pPr>
            <w:r>
              <w:rPr>
                <w:sz w:val="19"/>
              </w:rPr>
              <w:t>Conversion of less than the full eligible balance of the instrument.</w:t>
            </w:r>
          </w:p>
        </w:tc>
        <w:tc>
          <w:tcPr>
            <w:tcW w:type="dxa" w:w="4248"/>
          </w:tcPr>
          <w:p>
            <w:pPr>
              <w:spacing w:after="80" w:before="60"/>
            </w:pPr>
            <w:r>
              <w:rPr>
                <w:sz w:val="19"/>
              </w:rPr>
              <w:t>Create resulting securities and retain correctly classified remaining principal or rights.</w:t>
            </w:r>
          </w:p>
        </w:tc>
      </w:tr>
      <w:tr>
        <w:trPr>
          <w:cantSplit/>
        </w:trPr>
        <w:tc>
          <w:tcPr>
            <w:tcW w:type="dxa" w:w="2160"/>
          </w:tcPr>
          <w:p>
            <w:pPr>
              <w:spacing w:after="80" w:before="60"/>
            </w:pPr>
            <w:r>
              <w:rPr>
                <w:sz w:val="19"/>
              </w:rPr>
              <w:t>Residual or remaining balance</w:t>
            </w:r>
          </w:p>
        </w:tc>
        <w:tc>
          <w:tcPr>
            <w:tcW w:type="dxa" w:w="3816"/>
          </w:tcPr>
          <w:p>
            <w:pPr>
              <w:spacing w:after="80" w:before="60"/>
            </w:pPr>
            <w:r>
              <w:rPr>
                <w:sz w:val="19"/>
              </w:rPr>
              <w:t>The portion of principal, interest or rights not consumed by a conversion, repayment or cancellation.</w:t>
            </w:r>
          </w:p>
        </w:tc>
        <w:tc>
          <w:tcPr>
            <w:tcW w:type="dxa" w:w="4248"/>
          </w:tcPr>
          <w:p>
            <w:pPr>
              <w:spacing w:after="80" w:before="60"/>
            </w:pPr>
            <w:r>
              <w:rPr>
                <w:sz w:val="19"/>
              </w:rPr>
              <w:t>Prevents converting the same amount twice and supports later lifecycle events.</w:t>
            </w:r>
          </w:p>
        </w:tc>
      </w:tr>
      <w:tr>
        <w:trPr>
          <w:cantSplit/>
        </w:trPr>
        <w:tc>
          <w:tcPr>
            <w:tcW w:type="dxa" w:w="2160"/>
          </w:tcPr>
          <w:p>
            <w:pPr>
              <w:spacing w:after="80" w:before="60"/>
            </w:pPr>
            <w:r>
              <w:rPr>
                <w:sz w:val="19"/>
              </w:rPr>
              <w:t>Conversion receipt and lineage</w:t>
            </w:r>
          </w:p>
        </w:tc>
        <w:tc>
          <w:tcPr>
            <w:tcW w:type="dxa" w:w="3816"/>
          </w:tcPr>
          <w:p>
            <w:pPr>
              <w:spacing w:after="80" w:before="60"/>
            </w:pPr>
            <w:r>
              <w:rPr>
                <w:sz w:val="19"/>
              </w:rPr>
              <w:t>The saved calculation and links from source instrument to conversion event and resulting holdings.</w:t>
            </w:r>
          </w:p>
        </w:tc>
        <w:tc>
          <w:tcPr>
            <w:tcW w:type="dxa" w:w="4248"/>
          </w:tcPr>
          <w:p>
            <w:pPr>
              <w:spacing w:after="80" w:before="60"/>
            </w:pPr>
            <w:r>
              <w:rPr>
                <w:sz w:val="19"/>
              </w:rPr>
              <w:t>Reconciles amounts and detects duplicate issuance; does not substitute for approval.</w:t>
            </w:r>
          </w:p>
        </w:tc>
      </w:tr>
    </w:tbl>
    <w:p>
      <w:pPr>
        <w:spacing w:after="0"/>
      </w:pPr>
    </w:p>
    <w:p>
      <w:r>
        <w:br w:type="page"/>
      </w:r>
    </w:p>
    <w:p>
      <w:pPr>
        <w:pStyle w:val="Heading1"/>
      </w:pPr>
      <w:r>
        <w:t>T8 Loan balances rates and payments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Principal</w:t>
            </w:r>
          </w:p>
        </w:tc>
        <w:tc>
          <w:tcPr>
            <w:tcW w:type="dxa" w:w="3816"/>
          </w:tcPr>
          <w:p>
            <w:pPr>
              <w:spacing w:after="80" w:before="60"/>
            </w:pPr>
            <w:r>
              <w:rPr>
                <w:sz w:val="19"/>
              </w:rPr>
              <w:t>The unpaid loan amount after applicable funding, repayment, conversion and capitalization events.</w:t>
            </w:r>
          </w:p>
        </w:tc>
        <w:tc>
          <w:tcPr>
            <w:tcW w:type="dxa" w:w="4248"/>
          </w:tcPr>
          <w:p>
            <w:pPr>
              <w:spacing w:after="80" w:before="60"/>
            </w:pPr>
            <w:r>
              <w:rPr>
                <w:sz w:val="19"/>
              </w:rPr>
              <w:t>The interest base when the contract specifies principal-based accrual.</w:t>
            </w:r>
          </w:p>
        </w:tc>
      </w:tr>
      <w:tr>
        <w:trPr>
          <w:cantSplit/>
        </w:trPr>
        <w:tc>
          <w:tcPr>
            <w:tcW w:type="dxa" w:w="2160"/>
          </w:tcPr>
          <w:p>
            <w:pPr>
              <w:spacing w:after="80" w:before="60"/>
            </w:pPr>
            <w:r>
              <w:rPr>
                <w:sz w:val="19"/>
              </w:rPr>
              <w:t>Accrued interest</w:t>
            </w:r>
          </w:p>
        </w:tc>
        <w:tc>
          <w:tcPr>
            <w:tcW w:type="dxa" w:w="3816"/>
          </w:tcPr>
          <w:p>
            <w:pPr>
              <w:spacing w:after="80" w:before="60"/>
            </w:pPr>
            <w:r>
              <w:rPr>
                <w:sz w:val="19"/>
              </w:rPr>
              <w:t>Interest earned under the loan terms but not yet paid, converted or otherwise settled.</w:t>
            </w:r>
          </w:p>
        </w:tc>
        <w:tc>
          <w:tcPr>
            <w:tcW w:type="dxa" w:w="4248"/>
          </w:tcPr>
          <w:p>
            <w:pPr>
              <w:spacing w:after="80" w:before="60"/>
            </w:pPr>
            <w:r>
              <w:rPr>
                <w:sz w:val="19"/>
              </w:rPr>
              <w:t>Calculate by dated periods; keep it distinct from principal until an authorized capitalization event.</w:t>
            </w:r>
          </w:p>
        </w:tc>
      </w:tr>
      <w:tr>
        <w:trPr>
          <w:cantSplit/>
        </w:trPr>
        <w:tc>
          <w:tcPr>
            <w:tcW w:type="dxa" w:w="2160"/>
          </w:tcPr>
          <w:p>
            <w:pPr>
              <w:spacing w:after="80" w:before="60"/>
            </w:pPr>
            <w:r>
              <w:rPr>
                <w:sz w:val="19"/>
              </w:rPr>
              <w:t>Interest rate</w:t>
            </w:r>
          </w:p>
        </w:tc>
        <w:tc>
          <w:tcPr>
            <w:tcW w:type="dxa" w:w="3816"/>
          </w:tcPr>
          <w:p>
            <w:pPr>
              <w:spacing w:after="80" w:before="60"/>
            </w:pPr>
            <w:r>
              <w:rPr>
                <w:sz w:val="19"/>
              </w:rPr>
              <w:t>The stated rate applied under the contract to its defined base and period.</w:t>
            </w:r>
          </w:p>
        </w:tc>
        <w:tc>
          <w:tcPr>
            <w:tcW w:type="dxa" w:w="4248"/>
          </w:tcPr>
          <w:p>
            <w:pPr>
              <w:spacing w:after="80" w:before="60"/>
            </w:pPr>
            <w:r>
              <w:rPr>
                <w:sz w:val="19"/>
              </w:rPr>
              <w:t>Store units; an annual percentage is not a monthly rate or a price multiplier.</w:t>
            </w:r>
          </w:p>
        </w:tc>
      </w:tr>
      <w:tr>
        <w:trPr>
          <w:cantSplit/>
        </w:trPr>
        <w:tc>
          <w:tcPr>
            <w:tcW w:type="dxa" w:w="2160"/>
          </w:tcPr>
          <w:p>
            <w:pPr>
              <w:spacing w:after="80" w:before="60"/>
            </w:pPr>
            <w:r>
              <w:rPr>
                <w:sz w:val="19"/>
              </w:rPr>
              <w:t>Simple interest</w:t>
            </w:r>
          </w:p>
        </w:tc>
        <w:tc>
          <w:tcPr>
            <w:tcW w:type="dxa" w:w="3816"/>
          </w:tcPr>
          <w:p>
            <w:pPr>
              <w:spacing w:after="80" w:before="60"/>
            </w:pPr>
            <w:r>
              <w:rPr>
                <w:sz w:val="19"/>
              </w:rPr>
              <w:t>Interest calculated on the permitted base without interest-on-interest under the selected rule.</w:t>
            </w:r>
          </w:p>
        </w:tc>
        <w:tc>
          <w:tcPr>
            <w:tcW w:type="dxa" w:w="4248"/>
          </w:tcPr>
          <w:p>
            <w:pPr>
              <w:spacing w:after="80" w:before="60"/>
            </w:pPr>
            <w:r>
              <w:rPr>
                <w:sz w:val="19"/>
              </w:rPr>
              <w:t>A basic formula is principal times annual rate times contractual year fraction.</w:t>
            </w:r>
          </w:p>
        </w:tc>
      </w:tr>
      <w:tr>
        <w:trPr>
          <w:cantSplit/>
        </w:trPr>
        <w:tc>
          <w:tcPr>
            <w:tcW w:type="dxa" w:w="2160"/>
          </w:tcPr>
          <w:p>
            <w:pPr>
              <w:spacing w:after="80" w:before="60"/>
            </w:pPr>
            <w:r>
              <w:rPr>
                <w:sz w:val="19"/>
              </w:rPr>
              <w:t>Compound interest</w:t>
            </w:r>
          </w:p>
        </w:tc>
        <w:tc>
          <w:tcPr>
            <w:tcW w:type="dxa" w:w="3816"/>
          </w:tcPr>
          <w:p>
            <w:pPr>
              <w:spacing w:after="80" w:before="60"/>
            </w:pPr>
            <w:r>
              <w:rPr>
                <w:sz w:val="19"/>
              </w:rPr>
              <w:t>Interest-on-interest produced by the contractual compounding schedule and base.</w:t>
            </w:r>
          </w:p>
        </w:tc>
        <w:tc>
          <w:tcPr>
            <w:tcW w:type="dxa" w:w="4248"/>
          </w:tcPr>
          <w:p>
            <w:pPr>
              <w:spacing w:after="80" w:before="60"/>
            </w:pPr>
            <w:r>
              <w:rPr>
                <w:sz w:val="19"/>
              </w:rPr>
              <w:t>Apply explicit capitalization dates and eligible balances; do not assume daily compounding.</w:t>
            </w:r>
          </w:p>
        </w:tc>
      </w:tr>
      <w:tr>
        <w:trPr>
          <w:cantSplit/>
        </w:trPr>
        <w:tc>
          <w:tcPr>
            <w:tcW w:type="dxa" w:w="2160"/>
          </w:tcPr>
          <w:p>
            <w:pPr>
              <w:spacing w:after="80" w:before="60"/>
            </w:pPr>
            <w:r>
              <w:rPr>
                <w:sz w:val="19"/>
              </w:rPr>
              <w:t>Capitalized interest or PIK</w:t>
            </w:r>
          </w:p>
        </w:tc>
        <w:tc>
          <w:tcPr>
            <w:tcW w:type="dxa" w:w="3816"/>
          </w:tcPr>
          <w:p>
            <w:pPr>
              <w:spacing w:after="80" w:before="60"/>
            </w:pPr>
            <w:r>
              <w:rPr>
                <w:sz w:val="19"/>
              </w:rPr>
              <w:t>Interest moved into principal or paid in kind under defined terms.</w:t>
            </w:r>
          </w:p>
        </w:tc>
        <w:tc>
          <w:tcPr>
            <w:tcW w:type="dxa" w:w="4248"/>
          </w:tcPr>
          <w:p>
            <w:pPr>
              <w:spacing w:after="80" w:before="60"/>
            </w:pPr>
            <w:r>
              <w:rPr>
                <w:sz w:val="19"/>
              </w:rPr>
              <w:t>Creates a separate balance movement and can change later accrual or conversion quantities.</w:t>
            </w:r>
          </w:p>
        </w:tc>
      </w:tr>
      <w:tr>
        <w:trPr>
          <w:cantSplit/>
        </w:trPr>
        <w:tc>
          <w:tcPr>
            <w:tcW w:type="dxa" w:w="2160"/>
          </w:tcPr>
          <w:p>
            <w:pPr>
              <w:spacing w:after="80" w:before="60"/>
            </w:pPr>
            <w:r>
              <w:rPr>
                <w:sz w:val="19"/>
              </w:rPr>
              <w:t>Maturity date</w:t>
            </w:r>
          </w:p>
        </w:tc>
        <w:tc>
          <w:tcPr>
            <w:tcW w:type="dxa" w:w="3816"/>
          </w:tcPr>
          <w:p>
            <w:pPr>
              <w:spacing w:after="80" w:before="60"/>
            </w:pPr>
            <w:r>
              <w:rPr>
                <w:sz w:val="19"/>
              </w:rPr>
              <w:t>The date on which specified repayment or other maturity terms become relevant.</w:t>
            </w:r>
          </w:p>
        </w:tc>
        <w:tc>
          <w:tcPr>
            <w:tcW w:type="dxa" w:w="4248"/>
          </w:tcPr>
          <w:p>
            <w:pPr>
              <w:spacing w:after="80" w:before="60"/>
            </w:pPr>
            <w:r>
              <w:rPr>
                <w:sz w:val="19"/>
              </w:rPr>
              <w:t>Evaluate notices, extensions and choices; maturity does not automatically mean conversion or default.</w:t>
            </w:r>
          </w:p>
        </w:tc>
      </w:tr>
      <w:tr>
        <w:trPr>
          <w:cantSplit/>
        </w:trPr>
        <w:tc>
          <w:tcPr>
            <w:tcW w:type="dxa" w:w="2160"/>
          </w:tcPr>
          <w:p>
            <w:pPr>
              <w:spacing w:after="80" w:before="60"/>
            </w:pPr>
            <w:r>
              <w:rPr>
                <w:sz w:val="19"/>
              </w:rPr>
              <w:t>Default and default rate</w:t>
            </w:r>
          </w:p>
        </w:tc>
        <w:tc>
          <w:tcPr>
            <w:tcW w:type="dxa" w:w="3816"/>
          </w:tcPr>
          <w:p>
            <w:pPr>
              <w:spacing w:after="80" w:before="60"/>
            </w:pPr>
            <w:r>
              <w:rPr>
                <w:sz w:val="19"/>
              </w:rPr>
              <w:t>A defined breach state and any resulting interest-rate treatment.</w:t>
            </w:r>
          </w:p>
        </w:tc>
        <w:tc>
          <w:tcPr>
            <w:tcW w:type="dxa" w:w="4248"/>
          </w:tcPr>
          <w:p>
            <w:pPr>
              <w:spacing w:after="80" w:before="60"/>
            </w:pPr>
            <w:r>
              <w:rPr>
                <w:sz w:val="19"/>
              </w:rPr>
              <w:t>Apply only after the relevant facts and terms are established, not from lateness alone.</w:t>
            </w:r>
          </w:p>
        </w:tc>
      </w:tr>
      <w:tr>
        <w:trPr>
          <w:cantSplit/>
        </w:trPr>
        <w:tc>
          <w:tcPr>
            <w:tcW w:type="dxa" w:w="2160"/>
          </w:tcPr>
          <w:p>
            <w:pPr>
              <w:spacing w:after="80" w:before="60"/>
            </w:pPr>
            <w:r>
              <w:rPr>
                <w:sz w:val="19"/>
              </w:rPr>
              <w:t>Grace period and cure period</w:t>
            </w:r>
          </w:p>
        </w:tc>
        <w:tc>
          <w:tcPr>
            <w:tcW w:type="dxa" w:w="3816"/>
          </w:tcPr>
          <w:p>
            <w:pPr>
              <w:spacing w:after="80" w:before="60"/>
            </w:pPr>
            <w:r>
              <w:rPr>
                <w:sz w:val="19"/>
              </w:rPr>
              <w:t>A period allowing performance or correction under specified rules.</w:t>
            </w:r>
          </w:p>
        </w:tc>
        <w:tc>
          <w:tcPr>
            <w:tcW w:type="dxa" w:w="4248"/>
          </w:tcPr>
          <w:p>
            <w:pPr>
              <w:spacing w:after="80" w:before="60"/>
            </w:pPr>
            <w:r>
              <w:rPr>
                <w:sz w:val="19"/>
              </w:rPr>
              <w:t>Affects default and election timing; confirm calendar-day or business-day convention.</w:t>
            </w:r>
          </w:p>
        </w:tc>
      </w:tr>
      <w:tr>
        <w:trPr>
          <w:cantSplit/>
        </w:trPr>
        <w:tc>
          <w:tcPr>
            <w:tcW w:type="dxa" w:w="2160"/>
          </w:tcPr>
          <w:p>
            <w:pPr>
              <w:spacing w:after="80" w:before="60"/>
            </w:pPr>
            <w:r>
              <w:rPr>
                <w:sz w:val="19"/>
              </w:rPr>
              <w:t>Payment allocation order</w:t>
            </w:r>
          </w:p>
        </w:tc>
        <w:tc>
          <w:tcPr>
            <w:tcW w:type="dxa" w:w="3816"/>
          </w:tcPr>
          <w:p>
            <w:pPr>
              <w:spacing w:after="80" w:before="60"/>
            </w:pPr>
            <w:r>
              <w:rPr>
                <w:sz w:val="19"/>
              </w:rPr>
              <w:t>The rule assigning a payment among fees, interest, principal and other claims.</w:t>
            </w:r>
          </w:p>
        </w:tc>
        <w:tc>
          <w:tcPr>
            <w:tcW w:type="dxa" w:w="4248"/>
          </w:tcPr>
          <w:p>
            <w:pPr>
              <w:spacing w:after="80" w:before="60"/>
            </w:pPr>
            <w:r>
              <w:rPr>
                <w:sz w:val="19"/>
              </w:rPr>
              <w:t>Changes remaining balances and future interest; do not choose an implicit allocation order.</w:t>
            </w:r>
          </w:p>
        </w:tc>
      </w:tr>
      <w:tr>
        <w:trPr>
          <w:cantSplit/>
        </w:trPr>
        <w:tc>
          <w:tcPr>
            <w:tcW w:type="dxa" w:w="2160"/>
          </w:tcPr>
          <w:p>
            <w:pPr>
              <w:spacing w:after="80" w:before="60"/>
            </w:pPr>
            <w:r>
              <w:rPr>
                <w:sz w:val="19"/>
              </w:rPr>
              <w:t>Repayment premium</w:t>
            </w:r>
          </w:p>
        </w:tc>
        <w:tc>
          <w:tcPr>
            <w:tcW w:type="dxa" w:w="3816"/>
          </w:tcPr>
          <w:p>
            <w:pPr>
              <w:spacing w:after="80" w:before="60"/>
            </w:pPr>
            <w:r>
              <w:rPr>
                <w:sz w:val="19"/>
              </w:rPr>
              <w:t>An amount payable in addition to specified loan balances under a repayment rule.</w:t>
            </w:r>
          </w:p>
        </w:tc>
        <w:tc>
          <w:tcPr>
            <w:tcW w:type="dxa" w:w="4248"/>
          </w:tcPr>
          <w:p>
            <w:pPr>
              <w:spacing w:after="80" w:before="60"/>
            </w:pPr>
            <w:r>
              <w:rPr>
                <w:sz w:val="19"/>
              </w:rPr>
              <w:t>Feeds debt payoff or permitted conversion treatment only under the agreement.</w:t>
            </w:r>
          </w:p>
        </w:tc>
      </w:tr>
      <w:tr>
        <w:trPr>
          <w:cantSplit/>
        </w:trPr>
        <w:tc>
          <w:tcPr>
            <w:tcW w:type="dxa" w:w="2160"/>
          </w:tcPr>
          <w:p>
            <w:pPr>
              <w:spacing w:after="80" w:before="60"/>
            </w:pPr>
            <w:r>
              <w:rPr>
                <w:sz w:val="19"/>
              </w:rPr>
              <w:t>Drawdown and amortization</w:t>
            </w:r>
          </w:p>
        </w:tc>
        <w:tc>
          <w:tcPr>
            <w:tcW w:type="dxa" w:w="3816"/>
          </w:tcPr>
          <w:p>
            <w:pPr>
              <w:spacing w:after="80" w:before="60"/>
            </w:pPr>
            <w:r>
              <w:rPr>
                <w:sz w:val="19"/>
              </w:rPr>
              <w:t>Advancing committed funds and reducing debt through scheduled principal payments, respectively.</w:t>
            </w:r>
          </w:p>
        </w:tc>
        <w:tc>
          <w:tcPr>
            <w:tcW w:type="dxa" w:w="4248"/>
          </w:tcPr>
          <w:p>
            <w:pPr>
              <w:spacing w:after="80" w:before="60"/>
            </w:pPr>
            <w:r>
              <w:rPr>
                <w:sz w:val="19"/>
              </w:rPr>
              <w:t>Changes the dated principal base used for interest and payoff calculations.</w:t>
            </w:r>
          </w:p>
        </w:tc>
      </w:tr>
    </w:tbl>
    <w:p>
      <w:pPr>
        <w:spacing w:after="0"/>
      </w:pPr>
    </w:p>
    <w:p>
      <w:r>
        <w:br w:type="page"/>
      </w:r>
    </w:p>
    <w:p>
      <w:pPr>
        <w:pStyle w:val="Heading1"/>
      </w:pPr>
      <w:r>
        <w:t>T9 Interest calendars and date conventions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Accrual start and end</w:t>
            </w:r>
          </w:p>
        </w:tc>
        <w:tc>
          <w:tcPr>
            <w:tcW w:type="dxa" w:w="3816"/>
          </w:tcPr>
          <w:p>
            <w:pPr>
              <w:spacing w:after="80" w:before="60"/>
            </w:pPr>
            <w:r>
              <w:rPr>
                <w:sz w:val="19"/>
              </w:rPr>
              <w:t>The dates bounding an interest calculation period.</w:t>
            </w:r>
          </w:p>
        </w:tc>
        <w:tc>
          <w:tcPr>
            <w:tcW w:type="dxa" w:w="4248"/>
          </w:tcPr>
          <w:p>
            <w:pPr>
              <w:spacing w:after="80" w:before="60"/>
            </w:pPr>
            <w:r>
              <w:rPr>
                <w:sz w:val="19"/>
              </w:rPr>
              <w:t>May differ from signing and funding dates; inclusion rules must be explicit.</w:t>
            </w:r>
          </w:p>
        </w:tc>
      </w:tr>
      <w:tr>
        <w:trPr>
          <w:cantSplit/>
        </w:trPr>
        <w:tc>
          <w:tcPr>
            <w:tcW w:type="dxa" w:w="2160"/>
          </w:tcPr>
          <w:p>
            <w:pPr>
              <w:spacing w:after="80" w:before="60"/>
            </w:pPr>
            <w:r>
              <w:rPr>
                <w:sz w:val="19"/>
              </w:rPr>
              <w:t>Day-count convention</w:t>
            </w:r>
          </w:p>
        </w:tc>
        <w:tc>
          <w:tcPr>
            <w:tcW w:type="dxa" w:w="3816"/>
          </w:tcPr>
          <w:p>
            <w:pPr>
              <w:spacing w:after="80" w:before="60"/>
            </w:pPr>
            <w:r>
              <w:rPr>
                <w:sz w:val="19"/>
              </w:rPr>
              <w:t>The contract rule turning elapsed dates into a fraction of a year.</w:t>
            </w:r>
          </w:p>
        </w:tc>
        <w:tc>
          <w:tcPr>
            <w:tcW w:type="dxa" w:w="4248"/>
          </w:tcPr>
          <w:p>
            <w:pPr>
              <w:spacing w:after="80" w:before="60"/>
            </w:pPr>
            <w:r>
              <w:rPr>
                <w:sz w:val="19"/>
              </w:rPr>
              <w:t>Feeds interest calculations; similarly named conventions can give different amounts.</w:t>
            </w:r>
          </w:p>
        </w:tc>
      </w:tr>
      <w:tr>
        <w:trPr>
          <w:cantSplit/>
        </w:trPr>
        <w:tc>
          <w:tcPr>
            <w:tcW w:type="dxa" w:w="2160"/>
          </w:tcPr>
          <w:p>
            <w:pPr>
              <w:spacing w:after="80" w:before="60"/>
            </w:pPr>
            <w:r>
              <w:rPr>
                <w:sz w:val="19"/>
              </w:rPr>
              <w:t>ACT/365 Fixed</w:t>
            </w:r>
          </w:p>
        </w:tc>
        <w:tc>
          <w:tcPr>
            <w:tcW w:type="dxa" w:w="3816"/>
          </w:tcPr>
          <w:p>
            <w:pPr>
              <w:spacing w:after="80" w:before="60"/>
            </w:pPr>
            <w:r>
              <w:rPr>
                <w:sz w:val="19"/>
              </w:rPr>
              <w:t>Actual elapsed days divided by a fixed 365-day denominator.</w:t>
            </w:r>
          </w:p>
        </w:tc>
        <w:tc>
          <w:tcPr>
            <w:tcW w:type="dxa" w:w="4248"/>
          </w:tcPr>
          <w:p>
            <w:pPr>
              <w:spacing w:after="80" w:before="60"/>
            </w:pPr>
            <w:r>
              <w:rPr>
                <w:sz w:val="19"/>
              </w:rPr>
              <w:t>Leap days remain in elapsed days; the denominator stays 365.</w:t>
            </w:r>
          </w:p>
        </w:tc>
      </w:tr>
      <w:tr>
        <w:trPr>
          <w:cantSplit/>
        </w:trPr>
        <w:tc>
          <w:tcPr>
            <w:tcW w:type="dxa" w:w="2160"/>
          </w:tcPr>
          <w:p>
            <w:pPr>
              <w:spacing w:after="80" w:before="60"/>
            </w:pPr>
            <w:r>
              <w:rPr>
                <w:sz w:val="19"/>
              </w:rPr>
              <w:t>ACT/360</w:t>
            </w:r>
          </w:p>
        </w:tc>
        <w:tc>
          <w:tcPr>
            <w:tcW w:type="dxa" w:w="3816"/>
          </w:tcPr>
          <w:p>
            <w:pPr>
              <w:spacing w:after="80" w:before="60"/>
            </w:pPr>
            <w:r>
              <w:rPr>
                <w:sz w:val="19"/>
              </w:rPr>
              <w:t>Actual elapsed days divided by 360.</w:t>
            </w:r>
          </w:p>
        </w:tc>
        <w:tc>
          <w:tcPr>
            <w:tcW w:type="dxa" w:w="4248"/>
          </w:tcPr>
          <w:p>
            <w:pPr>
              <w:spacing w:after="80" w:before="60"/>
            </w:pPr>
            <w:r>
              <w:rPr>
                <w:sz w:val="19"/>
              </w:rPr>
              <w:t>Produces a different year fraction from ACT/365 for the same period.</w:t>
            </w:r>
          </w:p>
        </w:tc>
      </w:tr>
      <w:tr>
        <w:trPr>
          <w:cantSplit/>
        </w:trPr>
        <w:tc>
          <w:tcPr>
            <w:tcW w:type="dxa" w:w="2160"/>
          </w:tcPr>
          <w:p>
            <w:pPr>
              <w:spacing w:after="80" w:before="60"/>
            </w:pPr>
            <w:r>
              <w:rPr>
                <w:sz w:val="19"/>
              </w:rPr>
              <w:t>ACT/ACT ISDA</w:t>
            </w:r>
          </w:p>
        </w:tc>
        <w:tc>
          <w:tcPr>
            <w:tcW w:type="dxa" w:w="3816"/>
          </w:tcPr>
          <w:p>
            <w:pPr>
              <w:spacing w:after="80" w:before="60"/>
            </w:pPr>
            <w:r>
              <w:rPr>
                <w:sz w:val="19"/>
              </w:rPr>
              <w:t>A convention splitting actual days across calendar years using 365 or 366 for each year.</w:t>
            </w:r>
          </w:p>
        </w:tc>
        <w:tc>
          <w:tcPr>
            <w:tcW w:type="dxa" w:w="4248"/>
          </w:tcPr>
          <w:p>
            <w:pPr>
              <w:spacing w:after="80" w:before="60"/>
            </w:pPr>
            <w:r>
              <w:rPr>
                <w:sz w:val="19"/>
              </w:rPr>
              <w:t>Do not replace it with ACT/ACT ICMA or an unspecified actual/actual rule.</w:t>
            </w:r>
          </w:p>
        </w:tc>
      </w:tr>
      <w:tr>
        <w:trPr>
          <w:cantSplit/>
        </w:trPr>
        <w:tc>
          <w:tcPr>
            <w:tcW w:type="dxa" w:w="2160"/>
          </w:tcPr>
          <w:p>
            <w:pPr>
              <w:spacing w:after="80" w:before="60"/>
            </w:pPr>
            <w:r>
              <w:rPr>
                <w:sz w:val="19"/>
              </w:rPr>
              <w:t>30E/360</w:t>
            </w:r>
          </w:p>
        </w:tc>
        <w:tc>
          <w:tcPr>
            <w:tcW w:type="dxa" w:w="3816"/>
          </w:tcPr>
          <w:p>
            <w:pPr>
              <w:spacing w:after="80" w:before="60"/>
            </w:pPr>
            <w:r>
              <w:rPr>
                <w:sz w:val="19"/>
              </w:rPr>
              <w:t>A convention using 30-day month adjustments and a 360-day year under its named rules.</w:t>
            </w:r>
          </w:p>
        </w:tc>
        <w:tc>
          <w:tcPr>
            <w:tcW w:type="dxa" w:w="4248"/>
          </w:tcPr>
          <w:p>
            <w:pPr>
              <w:spacing w:after="80" w:before="60"/>
            </w:pPr>
            <w:r>
              <w:rPr>
                <w:sz w:val="19"/>
              </w:rPr>
              <w:t>The basic European variant differs from US/NASD and ISDA variants.</w:t>
            </w:r>
          </w:p>
        </w:tc>
      </w:tr>
      <w:tr>
        <w:trPr>
          <w:cantSplit/>
        </w:trPr>
        <w:tc>
          <w:tcPr>
            <w:tcW w:type="dxa" w:w="2160"/>
          </w:tcPr>
          <w:p>
            <w:pPr>
              <w:spacing w:after="80" w:before="60"/>
            </w:pPr>
            <w:r>
              <w:rPr>
                <w:sz w:val="19"/>
              </w:rPr>
              <w:t>Calendar day and business day</w:t>
            </w:r>
          </w:p>
        </w:tc>
        <w:tc>
          <w:tcPr>
            <w:tcW w:type="dxa" w:w="3816"/>
          </w:tcPr>
          <w:p>
            <w:pPr>
              <w:spacing w:after="80" w:before="60"/>
            </w:pPr>
            <w:r>
              <w:rPr>
                <w:sz w:val="19"/>
              </w:rPr>
              <w:t>Any calendar date versus a working day under a specified holiday calendar.</w:t>
            </w:r>
          </w:p>
        </w:tc>
        <w:tc>
          <w:tcPr>
            <w:tcW w:type="dxa" w:w="4248"/>
          </w:tcPr>
          <w:p>
            <w:pPr>
              <w:spacing w:after="80" w:before="60"/>
            </w:pPr>
            <w:r>
              <w:rPr>
                <w:sz w:val="19"/>
              </w:rPr>
              <w:t>Controls deadlines, payment dates and some accrual or notice rules.</w:t>
            </w:r>
          </w:p>
        </w:tc>
      </w:tr>
      <w:tr>
        <w:trPr>
          <w:cantSplit/>
        </w:trPr>
        <w:tc>
          <w:tcPr>
            <w:tcW w:type="dxa" w:w="2160"/>
          </w:tcPr>
          <w:p>
            <w:pPr>
              <w:spacing w:after="80" w:before="60"/>
            </w:pPr>
            <w:r>
              <w:rPr>
                <w:sz w:val="19"/>
              </w:rPr>
              <w:t>Business-day adjustment</w:t>
            </w:r>
          </w:p>
        </w:tc>
        <w:tc>
          <w:tcPr>
            <w:tcW w:type="dxa" w:w="3816"/>
          </w:tcPr>
          <w:p>
            <w:pPr>
              <w:spacing w:after="80" w:before="60"/>
            </w:pPr>
            <w:r>
              <w:rPr>
                <w:sz w:val="19"/>
              </w:rPr>
              <w:t>A rule moving a scheduled date to a permitted business day.</w:t>
            </w:r>
          </w:p>
        </w:tc>
        <w:tc>
          <w:tcPr>
            <w:tcW w:type="dxa" w:w="4248"/>
          </w:tcPr>
          <w:p>
            <w:pPr>
              <w:spacing w:after="80" w:before="60"/>
            </w:pPr>
            <w:r>
              <w:rPr>
                <w:sz w:val="19"/>
              </w:rPr>
              <w:t>Following, preceding and modified following require a named calendar and version.</w:t>
            </w:r>
          </w:p>
        </w:tc>
      </w:tr>
      <w:tr>
        <w:trPr>
          <w:cantSplit/>
        </w:trPr>
        <w:tc>
          <w:tcPr>
            <w:tcW w:type="dxa" w:w="2160"/>
          </w:tcPr>
          <w:p>
            <w:pPr>
              <w:spacing w:after="80" w:before="60"/>
            </w:pPr>
            <w:r>
              <w:rPr>
                <w:sz w:val="19"/>
              </w:rPr>
              <w:t>Compounding frequency</w:t>
            </w:r>
          </w:p>
        </w:tc>
        <w:tc>
          <w:tcPr>
            <w:tcW w:type="dxa" w:w="3816"/>
          </w:tcPr>
          <w:p>
            <w:pPr>
              <w:spacing w:after="80" w:before="60"/>
            </w:pPr>
            <w:r>
              <w:rPr>
                <w:sz w:val="19"/>
              </w:rPr>
              <w:t>How often eligible accrued interest enters the compounding base.</w:t>
            </w:r>
          </w:p>
        </w:tc>
        <w:tc>
          <w:tcPr>
            <w:tcW w:type="dxa" w:w="4248"/>
          </w:tcPr>
          <w:p>
            <w:pPr>
              <w:spacing w:after="80" w:before="60"/>
            </w:pPr>
            <w:r>
              <w:rPr>
                <w:sz w:val="19"/>
              </w:rPr>
              <w:t>Annual, semiannual or other schedules require exact dated events.</w:t>
            </w:r>
          </w:p>
        </w:tc>
      </w:tr>
      <w:tr>
        <w:trPr>
          <w:cantSplit/>
        </w:trPr>
        <w:tc>
          <w:tcPr>
            <w:tcW w:type="dxa" w:w="2160"/>
          </w:tcPr>
          <w:p>
            <w:pPr>
              <w:spacing w:after="80" w:before="60"/>
            </w:pPr>
            <w:r>
              <w:rPr>
                <w:sz w:val="19"/>
              </w:rPr>
              <w:t>Nominal rate and effective annual yield</w:t>
            </w:r>
          </w:p>
        </w:tc>
        <w:tc>
          <w:tcPr>
            <w:tcW w:type="dxa" w:w="3816"/>
          </w:tcPr>
          <w:p>
            <w:pPr>
              <w:spacing w:after="80" w:before="60"/>
            </w:pPr>
            <w:r>
              <w:rPr>
                <w:sz w:val="19"/>
              </w:rPr>
              <w:t>A quoted rate convention versus the annual growth rate after specified compounding.</w:t>
            </w:r>
          </w:p>
        </w:tc>
        <w:tc>
          <w:tcPr>
            <w:tcW w:type="dxa" w:w="4248"/>
          </w:tcPr>
          <w:p>
            <w:pPr>
              <w:spacing w:after="80" w:before="60"/>
            </w:pPr>
            <w:r>
              <w:rPr>
                <w:sz w:val="19"/>
              </w:rPr>
              <w:t>Do not use them interchangeably in accrual or discount calculations.</w:t>
            </w:r>
          </w:p>
        </w:tc>
      </w:tr>
      <w:tr>
        <w:trPr>
          <w:cantSplit/>
        </w:trPr>
        <w:tc>
          <w:tcPr>
            <w:tcW w:type="dxa" w:w="2160"/>
          </w:tcPr>
          <w:p>
            <w:pPr>
              <w:spacing w:after="80" w:before="60"/>
            </w:pPr>
            <w:r>
              <w:rPr>
                <w:sz w:val="19"/>
              </w:rPr>
              <w:t>Stub period</w:t>
            </w:r>
          </w:p>
        </w:tc>
        <w:tc>
          <w:tcPr>
            <w:tcW w:type="dxa" w:w="3816"/>
          </w:tcPr>
          <w:p>
            <w:pPr>
              <w:spacing w:after="80" w:before="60"/>
            </w:pPr>
            <w:r>
              <w:rPr>
                <w:sz w:val="19"/>
              </w:rPr>
              <w:t>A shorter or longer period outside a regular payment or compounding schedule.</w:t>
            </w:r>
          </w:p>
        </w:tc>
        <w:tc>
          <w:tcPr>
            <w:tcW w:type="dxa" w:w="4248"/>
          </w:tcPr>
          <w:p>
            <w:pPr>
              <w:spacing w:after="80" w:before="60"/>
            </w:pPr>
            <w:r>
              <w:rPr>
                <w:sz w:val="19"/>
              </w:rPr>
              <w:t>Requires the applicable partial-period convention; do not round it to a whole period.</w:t>
            </w:r>
          </w:p>
        </w:tc>
      </w:tr>
      <w:tr>
        <w:trPr>
          <w:cantSplit/>
        </w:trPr>
        <w:tc>
          <w:tcPr>
            <w:tcW w:type="dxa" w:w="2160"/>
          </w:tcPr>
          <w:p>
            <w:pPr>
              <w:spacing w:after="80" w:before="60"/>
            </w:pPr>
            <w:r>
              <w:rPr>
                <w:sz w:val="19"/>
              </w:rPr>
              <w:t>Interest cutoff and payment date</w:t>
            </w:r>
          </w:p>
        </w:tc>
        <w:tc>
          <w:tcPr>
            <w:tcW w:type="dxa" w:w="3816"/>
          </w:tcPr>
          <w:p>
            <w:pPr>
              <w:spacing w:after="80" w:before="60"/>
            </w:pPr>
            <w:r>
              <w:rPr>
                <w:sz w:val="19"/>
              </w:rPr>
              <w:t>The last covered accrual point and the actual settlement date, which can differ.</w:t>
            </w:r>
          </w:p>
        </w:tc>
        <w:tc>
          <w:tcPr>
            <w:tcW w:type="dxa" w:w="4248"/>
          </w:tcPr>
          <w:p>
            <w:pPr>
              <w:spacing w:after="80" w:before="60"/>
            </w:pPr>
            <w:r>
              <w:rPr>
                <w:sz w:val="19"/>
              </w:rPr>
              <w:t>Determines interest eligible for conversion or repayment and any later accrual.</w:t>
            </w:r>
          </w:p>
        </w:tc>
      </w:tr>
    </w:tbl>
    <w:p>
      <w:pPr>
        <w:spacing w:after="0"/>
      </w:pPr>
    </w:p>
    <w:p>
      <w:r>
        <w:br w:type="page"/>
      </w:r>
    </w:p>
    <w:p>
      <w:pPr>
        <w:pStyle w:val="Heading1"/>
      </w:pPr>
      <w:r>
        <w:t>T10 Employee grants and vesting</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Equity compensation plan</w:t>
            </w:r>
          </w:p>
        </w:tc>
        <w:tc>
          <w:tcPr>
            <w:tcW w:type="dxa" w:w="3816"/>
          </w:tcPr>
          <w:p>
            <w:pPr>
              <w:spacing w:after="80" w:before="60"/>
            </w:pPr>
            <w:r>
              <w:rPr>
                <w:sz w:val="19"/>
              </w:rPr>
              <w:t>The approved program defining awards, limits and applicable rules.</w:t>
            </w:r>
          </w:p>
        </w:tc>
        <w:tc>
          <w:tcPr>
            <w:tcW w:type="dxa" w:w="4248"/>
          </w:tcPr>
          <w:p>
            <w:pPr>
              <w:spacing w:after="80" w:before="60"/>
            </w:pPr>
            <w:r>
              <w:rPr>
                <w:sz w:val="19"/>
              </w:rPr>
              <w:t>Determines available plan capacity and which cancellations return shares to the pool.</w:t>
            </w:r>
          </w:p>
        </w:tc>
      </w:tr>
      <w:tr>
        <w:trPr>
          <w:cantSplit/>
        </w:trPr>
        <w:tc>
          <w:tcPr>
            <w:tcW w:type="dxa" w:w="2160"/>
          </w:tcPr>
          <w:p>
            <w:pPr>
              <w:spacing w:after="80" w:before="60"/>
            </w:pPr>
            <w:r>
              <w:rPr>
                <w:sz w:val="19"/>
              </w:rPr>
              <w:t>ESOP or employee equity pool</w:t>
            </w:r>
          </w:p>
        </w:tc>
        <w:tc>
          <w:tcPr>
            <w:tcW w:type="dxa" w:w="3816"/>
          </w:tcPr>
          <w:p>
            <w:pPr>
              <w:spacing w:after="80" w:before="60"/>
            </w:pPr>
            <w:r>
              <w:rPr>
                <w:sz w:val="19"/>
              </w:rPr>
              <w:t>A jurisdiction-dependent employee ownership/option plan term; startup usage often means an employee option pool.</w:t>
            </w:r>
          </w:p>
        </w:tc>
        <w:tc>
          <w:tcPr>
            <w:tcW w:type="dxa" w:w="4248"/>
          </w:tcPr>
          <w:p>
            <w:pPr>
              <w:spacing w:after="80" w:before="60"/>
            </w:pPr>
            <w:r>
              <w:rPr>
                <w:sz w:val="19"/>
              </w:rPr>
              <w:t>Confirm the actual plan type; do not equate all ESOP structures internationally.</w:t>
            </w:r>
          </w:p>
        </w:tc>
      </w:tr>
      <w:tr>
        <w:trPr>
          <w:cantSplit/>
        </w:trPr>
        <w:tc>
          <w:tcPr>
            <w:tcW w:type="dxa" w:w="2160"/>
          </w:tcPr>
          <w:p>
            <w:pPr>
              <w:spacing w:after="80" w:before="60"/>
            </w:pPr>
            <w:r>
              <w:rPr>
                <w:sz w:val="19"/>
              </w:rPr>
              <w:t>Grant or award</w:t>
            </w:r>
          </w:p>
        </w:tc>
        <w:tc>
          <w:tcPr>
            <w:tcW w:type="dxa" w:w="3816"/>
          </w:tcPr>
          <w:p>
            <w:pPr>
              <w:spacing w:after="80" w:before="60"/>
            </w:pPr>
            <w:r>
              <w:rPr>
                <w:sz w:val="19"/>
              </w:rPr>
              <w:t>A defined compensation entitlement offered or issued under approved terms.</w:t>
            </w:r>
          </w:p>
        </w:tc>
        <w:tc>
          <w:tcPr>
            <w:tcW w:type="dxa" w:w="4248"/>
          </w:tcPr>
          <w:p>
            <w:pPr>
              <w:spacing w:after="80" w:before="60"/>
            </w:pPr>
            <w:r>
              <w:rPr>
                <w:sz w:val="19"/>
              </w:rPr>
              <w:t>Record grant quantity and approval separately from vested or issued shares.</w:t>
            </w:r>
          </w:p>
        </w:tc>
      </w:tr>
      <w:tr>
        <w:trPr>
          <w:cantSplit/>
        </w:trPr>
        <w:tc>
          <w:tcPr>
            <w:tcW w:type="dxa" w:w="2160"/>
          </w:tcPr>
          <w:p>
            <w:pPr>
              <w:spacing w:after="80" w:before="60"/>
            </w:pPr>
            <w:r>
              <w:rPr>
                <w:sz w:val="19"/>
              </w:rPr>
              <w:t>Grant date</w:t>
            </w:r>
          </w:p>
        </w:tc>
        <w:tc>
          <w:tcPr>
            <w:tcW w:type="dxa" w:w="3816"/>
          </w:tcPr>
          <w:p>
            <w:pPr>
              <w:spacing w:after="80" w:before="60"/>
            </w:pPr>
            <w:r>
              <w:rPr>
                <w:sz w:val="19"/>
              </w:rPr>
              <w:t>The legally or administratively established award date under the applicable rules.</w:t>
            </w:r>
          </w:p>
        </w:tc>
        <w:tc>
          <w:tcPr>
            <w:tcW w:type="dxa" w:w="4248"/>
          </w:tcPr>
          <w:p>
            <w:pPr>
              <w:spacing w:after="80" w:before="60"/>
            </w:pPr>
            <w:r>
              <w:rPr>
                <w:sz w:val="19"/>
              </w:rPr>
              <w:t>Can affect valuation, schedule and tax inputs; do not infer it from upload date.</w:t>
            </w:r>
          </w:p>
        </w:tc>
      </w:tr>
      <w:tr>
        <w:trPr>
          <w:cantSplit/>
        </w:trPr>
        <w:tc>
          <w:tcPr>
            <w:tcW w:type="dxa" w:w="2160"/>
          </w:tcPr>
          <w:p>
            <w:pPr>
              <w:spacing w:after="80" w:before="60"/>
            </w:pPr>
            <w:r>
              <w:rPr>
                <w:sz w:val="19"/>
              </w:rPr>
              <w:t>Vesting</w:t>
            </w:r>
          </w:p>
        </w:tc>
        <w:tc>
          <w:tcPr>
            <w:tcW w:type="dxa" w:w="3816"/>
          </w:tcPr>
          <w:p>
            <w:pPr>
              <w:spacing w:after="80" w:before="60"/>
            </w:pPr>
            <w:r>
              <w:rPr>
                <w:sz w:val="19"/>
              </w:rPr>
              <w:t>Earning an award over time or after specified conditions are satisfied.</w:t>
            </w:r>
          </w:p>
        </w:tc>
        <w:tc>
          <w:tcPr>
            <w:tcW w:type="dxa" w:w="4248"/>
          </w:tcPr>
          <w:p>
            <w:pPr>
              <w:spacing w:after="80" w:before="60"/>
            </w:pPr>
            <w:r>
              <w:rPr>
                <w:sz w:val="19"/>
              </w:rPr>
              <w:t>Calculates earned entitlement; it does not itself establish exercise or share settlement.</w:t>
            </w:r>
          </w:p>
        </w:tc>
      </w:tr>
      <w:tr>
        <w:trPr>
          <w:cantSplit/>
        </w:trPr>
        <w:tc>
          <w:tcPr>
            <w:tcW w:type="dxa" w:w="2160"/>
          </w:tcPr>
          <w:p>
            <w:pPr>
              <w:spacing w:after="80" w:before="60"/>
            </w:pPr>
            <w:r>
              <w:rPr>
                <w:sz w:val="19"/>
              </w:rPr>
              <w:t>Vesting commencement date</w:t>
            </w:r>
          </w:p>
        </w:tc>
        <w:tc>
          <w:tcPr>
            <w:tcW w:type="dxa" w:w="3816"/>
          </w:tcPr>
          <w:p>
            <w:pPr>
              <w:spacing w:after="80" w:before="60"/>
            </w:pPr>
            <w:r>
              <w:rPr>
                <w:sz w:val="19"/>
              </w:rPr>
              <w:t>The date from which a vesting schedule measures service or time.</w:t>
            </w:r>
          </w:p>
        </w:tc>
        <w:tc>
          <w:tcPr>
            <w:tcW w:type="dxa" w:w="4248"/>
          </w:tcPr>
          <w:p>
            <w:pPr>
              <w:spacing w:after="80" w:before="60"/>
            </w:pPr>
            <w:r>
              <w:rPr>
                <w:sz w:val="19"/>
              </w:rPr>
              <w:t>Can differ from grant date; drives dated release calculations.</w:t>
            </w:r>
          </w:p>
        </w:tc>
      </w:tr>
      <w:tr>
        <w:trPr>
          <w:cantSplit/>
        </w:trPr>
        <w:tc>
          <w:tcPr>
            <w:tcW w:type="dxa" w:w="2160"/>
          </w:tcPr>
          <w:p>
            <w:pPr>
              <w:spacing w:after="80" w:before="60"/>
            </w:pPr>
            <w:r>
              <w:rPr>
                <w:sz w:val="19"/>
              </w:rPr>
              <w:t>Vesting schedule</w:t>
            </w:r>
          </w:p>
        </w:tc>
        <w:tc>
          <w:tcPr>
            <w:tcW w:type="dxa" w:w="3816"/>
          </w:tcPr>
          <w:p>
            <w:pPr>
              <w:spacing w:after="80" w:before="60"/>
            </w:pPr>
            <w:r>
              <w:rPr>
                <w:sz w:val="19"/>
              </w:rPr>
              <w:t>The dated quantities and conditions under which an award becomes earned.</w:t>
            </w:r>
          </w:p>
        </w:tc>
        <w:tc>
          <w:tcPr>
            <w:tcW w:type="dxa" w:w="4248"/>
          </w:tcPr>
          <w:p>
            <w:pPr>
              <w:spacing w:after="80" w:before="60"/>
            </w:pPr>
            <w:r>
              <w:rPr>
                <w:sz w:val="19"/>
              </w:rPr>
              <w:t>Materialize exact releases; do not approximate every month as 30 days.</w:t>
            </w:r>
          </w:p>
        </w:tc>
      </w:tr>
      <w:tr>
        <w:trPr>
          <w:cantSplit/>
        </w:trPr>
        <w:tc>
          <w:tcPr>
            <w:tcW w:type="dxa" w:w="2160"/>
          </w:tcPr>
          <w:p>
            <w:pPr>
              <w:spacing w:after="80" w:before="60"/>
            </w:pPr>
            <w:r>
              <w:rPr>
                <w:sz w:val="19"/>
              </w:rPr>
              <w:t>Cliff</w:t>
            </w:r>
          </w:p>
        </w:tc>
        <w:tc>
          <w:tcPr>
            <w:tcW w:type="dxa" w:w="3816"/>
          </w:tcPr>
          <w:p>
            <w:pPr>
              <w:spacing w:after="80" w:before="60"/>
            </w:pPr>
            <w:r>
              <w:rPr>
                <w:sz w:val="19"/>
              </w:rPr>
              <w:t>An initial period before any specified vesting is released.</w:t>
            </w:r>
          </w:p>
        </w:tc>
        <w:tc>
          <w:tcPr>
            <w:tcW w:type="dxa" w:w="4248"/>
          </w:tcPr>
          <w:p>
            <w:pPr>
              <w:spacing w:after="80" w:before="60"/>
            </w:pPr>
            <w:r>
              <w:rPr>
                <w:sz w:val="19"/>
              </w:rPr>
              <w:t>Before the cliff, zero may vest; the first release amount depends on the schedule.</w:t>
            </w:r>
          </w:p>
        </w:tc>
      </w:tr>
      <w:tr>
        <w:trPr>
          <w:cantSplit/>
        </w:trPr>
        <w:tc>
          <w:tcPr>
            <w:tcW w:type="dxa" w:w="2160"/>
          </w:tcPr>
          <w:p>
            <w:pPr>
              <w:spacing w:after="80" w:before="60"/>
            </w:pPr>
            <w:r>
              <w:rPr>
                <w:sz w:val="19"/>
              </w:rPr>
              <w:t>Time-based vesting</w:t>
            </w:r>
          </w:p>
        </w:tc>
        <w:tc>
          <w:tcPr>
            <w:tcW w:type="dxa" w:w="3816"/>
          </w:tcPr>
          <w:p>
            <w:pPr>
              <w:spacing w:after="80" w:before="60"/>
            </w:pPr>
            <w:r>
              <w:rPr>
                <w:sz w:val="19"/>
              </w:rPr>
              <w:t>Vesting conditioned on the passage of time and required service.</w:t>
            </w:r>
          </w:p>
        </w:tc>
        <w:tc>
          <w:tcPr>
            <w:tcW w:type="dxa" w:w="4248"/>
          </w:tcPr>
          <w:p>
            <w:pPr>
              <w:spacing w:after="80" w:before="60"/>
            </w:pPr>
            <w:r>
              <w:rPr>
                <w:sz w:val="19"/>
              </w:rPr>
              <w:t>Include applicable service dates, intervals and termination rules.</w:t>
            </w:r>
          </w:p>
        </w:tc>
      </w:tr>
      <w:tr>
        <w:trPr>
          <w:cantSplit/>
        </w:trPr>
        <w:tc>
          <w:tcPr>
            <w:tcW w:type="dxa" w:w="2160"/>
          </w:tcPr>
          <w:p>
            <w:pPr>
              <w:spacing w:after="80" w:before="60"/>
            </w:pPr>
            <w:r>
              <w:rPr>
                <w:sz w:val="19"/>
              </w:rPr>
              <w:t>Performance or milestone vesting</w:t>
            </w:r>
          </w:p>
        </w:tc>
        <w:tc>
          <w:tcPr>
            <w:tcW w:type="dxa" w:w="3816"/>
          </w:tcPr>
          <w:p>
            <w:pPr>
              <w:spacing w:after="80" w:before="60"/>
            </w:pPr>
            <w:r>
              <w:rPr>
                <w:sz w:val="19"/>
              </w:rPr>
              <w:t>Vesting conditioned on defined achievements or certifications.</w:t>
            </w:r>
          </w:p>
        </w:tc>
        <w:tc>
          <w:tcPr>
            <w:tcW w:type="dxa" w:w="4248"/>
          </w:tcPr>
          <w:p>
            <w:pPr>
              <w:spacing w:after="80" w:before="60"/>
            </w:pPr>
            <w:r>
              <w:rPr>
                <w:sz w:val="19"/>
              </w:rPr>
              <w:t>Requires evidence of condition satisfaction; time passing alone is insufficient.</w:t>
            </w:r>
          </w:p>
        </w:tc>
      </w:tr>
      <w:tr>
        <w:trPr>
          <w:cantSplit/>
        </w:trPr>
        <w:tc>
          <w:tcPr>
            <w:tcW w:type="dxa" w:w="2160"/>
          </w:tcPr>
          <w:p>
            <w:pPr>
              <w:spacing w:after="80" w:before="60"/>
            </w:pPr>
            <w:r>
              <w:rPr>
                <w:sz w:val="19"/>
              </w:rPr>
              <w:t>Acceleration</w:t>
            </w:r>
          </w:p>
        </w:tc>
        <w:tc>
          <w:tcPr>
            <w:tcW w:type="dxa" w:w="3816"/>
          </w:tcPr>
          <w:p>
            <w:pPr>
              <w:spacing w:after="80" w:before="60"/>
            </w:pPr>
            <w:r>
              <w:rPr>
                <w:sz w:val="19"/>
              </w:rPr>
              <w:t>Vesting brought forward under defined events or approvals.</w:t>
            </w:r>
          </w:p>
        </w:tc>
        <w:tc>
          <w:tcPr>
            <w:tcW w:type="dxa" w:w="4248"/>
          </w:tcPr>
          <w:p>
            <w:pPr>
              <w:spacing w:after="80" w:before="60"/>
            </w:pPr>
            <w:r>
              <w:rPr>
                <w:sz w:val="19"/>
              </w:rPr>
              <w:t>Changes schedule results only when applicable trigger conditions are met.</w:t>
            </w:r>
          </w:p>
        </w:tc>
      </w:tr>
      <w:tr>
        <w:trPr>
          <w:cantSplit/>
        </w:trPr>
        <w:tc>
          <w:tcPr>
            <w:tcW w:type="dxa" w:w="2160"/>
          </w:tcPr>
          <w:p>
            <w:pPr>
              <w:spacing w:after="80" w:before="60"/>
            </w:pPr>
            <w:r>
              <w:rPr>
                <w:sz w:val="19"/>
              </w:rPr>
              <w:t>Single-trigger and double-trigger acceleration</w:t>
            </w:r>
          </w:p>
        </w:tc>
        <w:tc>
          <w:tcPr>
            <w:tcW w:type="dxa" w:w="3816"/>
          </w:tcPr>
          <w:p>
            <w:pPr>
              <w:spacing w:after="80" w:before="60"/>
            </w:pPr>
            <w:r>
              <w:rPr>
                <w:sz w:val="19"/>
              </w:rPr>
              <w:t>Acceleration requiring one event or a defined combination, often transaction and termination events.</w:t>
            </w:r>
          </w:p>
        </w:tc>
        <w:tc>
          <w:tcPr>
            <w:tcW w:type="dxa" w:w="4248"/>
          </w:tcPr>
          <w:p>
            <w:pPr>
              <w:spacing w:after="80" w:before="60"/>
            </w:pPr>
            <w:r>
              <w:rPr>
                <w:sz w:val="19"/>
              </w:rPr>
              <w:t>Evaluate the exact events, sequence and permitted time window before releasing awards.</w:t>
            </w:r>
          </w:p>
        </w:tc>
      </w:tr>
    </w:tbl>
    <w:p>
      <w:pPr>
        <w:spacing w:after="0"/>
      </w:pPr>
    </w:p>
    <w:p>
      <w:r>
        <w:br w:type="page"/>
      </w:r>
    </w:p>
    <w:p>
      <w:pPr>
        <w:pStyle w:val="Heading1"/>
      </w:pPr>
      <w:r>
        <w:t>T11 Award types exercise and settlement</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Stock option</w:t>
            </w:r>
          </w:p>
        </w:tc>
        <w:tc>
          <w:tcPr>
            <w:tcW w:type="dxa" w:w="3816"/>
          </w:tcPr>
          <w:p>
            <w:pPr>
              <w:spacing w:after="80" w:before="60"/>
            </w:pPr>
            <w:r>
              <w:rPr>
                <w:sz w:val="19"/>
              </w:rPr>
              <w:t>A right to buy defined shares at an exercise price under specified conditions.</w:t>
            </w:r>
          </w:p>
        </w:tc>
        <w:tc>
          <w:tcPr>
            <w:tcW w:type="dxa" w:w="4248"/>
          </w:tcPr>
          <w:p>
            <w:pPr>
              <w:spacing w:after="80" w:before="60"/>
            </w:pPr>
            <w:r>
              <w:rPr>
                <w:sz w:val="19"/>
              </w:rPr>
              <w:t>Track granted, vested, exercisable, exercised and expired quantities separately.</w:t>
            </w:r>
          </w:p>
        </w:tc>
      </w:tr>
      <w:tr>
        <w:trPr>
          <w:cantSplit/>
        </w:trPr>
        <w:tc>
          <w:tcPr>
            <w:tcW w:type="dxa" w:w="2160"/>
          </w:tcPr>
          <w:p>
            <w:pPr>
              <w:spacing w:after="80" w:before="60"/>
            </w:pPr>
            <w:r>
              <w:rPr>
                <w:sz w:val="19"/>
              </w:rPr>
              <w:t>Warrant</w:t>
            </w:r>
          </w:p>
        </w:tc>
        <w:tc>
          <w:tcPr>
            <w:tcW w:type="dxa" w:w="3816"/>
          </w:tcPr>
          <w:p>
            <w:pPr>
              <w:spacing w:after="80" w:before="60"/>
            </w:pPr>
            <w:r>
              <w:rPr>
                <w:sz w:val="19"/>
              </w:rPr>
              <w:t>A contractual right to acquire securities, often outside an employee plan.</w:t>
            </w:r>
          </w:p>
        </w:tc>
        <w:tc>
          <w:tcPr>
            <w:tcW w:type="dxa" w:w="4248"/>
          </w:tcPr>
          <w:p>
            <w:pPr>
              <w:spacing w:after="80" w:before="60"/>
            </w:pPr>
            <w:r>
              <w:rPr>
                <w:sz w:val="19"/>
              </w:rPr>
              <w:t>Requires exercise, expiry, quantity-adjustment and settlement mechanics distinct from its label.</w:t>
            </w:r>
          </w:p>
        </w:tc>
      </w:tr>
      <w:tr>
        <w:trPr>
          <w:cantSplit/>
        </w:trPr>
        <w:tc>
          <w:tcPr>
            <w:tcW w:type="dxa" w:w="2160"/>
          </w:tcPr>
          <w:p>
            <w:pPr>
              <w:spacing w:after="80" w:before="60"/>
            </w:pPr>
            <w:r>
              <w:rPr>
                <w:sz w:val="19"/>
              </w:rPr>
              <w:t>Exercise or strike price</w:t>
            </w:r>
          </w:p>
        </w:tc>
        <w:tc>
          <w:tcPr>
            <w:tcW w:type="dxa" w:w="3816"/>
          </w:tcPr>
          <w:p>
            <w:pPr>
              <w:spacing w:after="80" w:before="60"/>
            </w:pPr>
            <w:r>
              <w:rPr>
                <w:sz w:val="19"/>
              </w:rPr>
              <w:t>The amount payable per underlying share when a right is exercised.</w:t>
            </w:r>
          </w:p>
        </w:tc>
        <w:tc>
          <w:tcPr>
            <w:tcW w:type="dxa" w:w="4248"/>
          </w:tcPr>
          <w:p>
            <w:pPr>
              <w:spacing w:after="80" w:before="60"/>
            </w:pPr>
            <w:r>
              <w:rPr>
                <w:sz w:val="19"/>
              </w:rPr>
              <w:t>Cash exercise cost equals permitted quantity times price, before separately specified fees or taxes.</w:t>
            </w:r>
          </w:p>
        </w:tc>
      </w:tr>
      <w:tr>
        <w:trPr>
          <w:cantSplit/>
        </w:trPr>
        <w:tc>
          <w:tcPr>
            <w:tcW w:type="dxa" w:w="2160"/>
          </w:tcPr>
          <w:p>
            <w:pPr>
              <w:spacing w:after="80" w:before="60"/>
            </w:pPr>
            <w:r>
              <w:rPr>
                <w:sz w:val="19"/>
              </w:rPr>
              <w:t>Exercise date</w:t>
            </w:r>
          </w:p>
        </w:tc>
        <w:tc>
          <w:tcPr>
            <w:tcW w:type="dxa" w:w="3816"/>
          </w:tcPr>
          <w:p>
            <w:pPr>
              <w:spacing w:after="80" w:before="60"/>
            </w:pPr>
            <w:r>
              <w:rPr>
                <w:sz w:val="19"/>
              </w:rPr>
              <w:t>The applicable date on which an exercise takes effect.</w:t>
            </w:r>
          </w:p>
        </w:tc>
        <w:tc>
          <w:tcPr>
            <w:tcW w:type="dxa" w:w="4248"/>
          </w:tcPr>
          <w:p>
            <w:pPr>
              <w:spacing w:after="80" w:before="60"/>
            </w:pPr>
            <w:r>
              <w:rPr>
                <w:sz w:val="19"/>
              </w:rPr>
              <w:t>Checks vesting, expiry, rights versions and required payment evidence.</w:t>
            </w:r>
          </w:p>
        </w:tc>
      </w:tr>
      <w:tr>
        <w:trPr>
          <w:cantSplit/>
        </w:trPr>
        <w:tc>
          <w:tcPr>
            <w:tcW w:type="dxa" w:w="2160"/>
          </w:tcPr>
          <w:p>
            <w:pPr>
              <w:spacing w:after="80" w:before="60"/>
            </w:pPr>
            <w:r>
              <w:rPr>
                <w:sz w:val="19"/>
              </w:rPr>
              <w:t>Early exercise</w:t>
            </w:r>
          </w:p>
        </w:tc>
        <w:tc>
          <w:tcPr>
            <w:tcW w:type="dxa" w:w="3816"/>
          </w:tcPr>
          <w:p>
            <w:pPr>
              <w:spacing w:after="80" w:before="60"/>
            </w:pPr>
            <w:r>
              <w:rPr>
                <w:sz w:val="19"/>
              </w:rPr>
              <w:t>Exercise permitted before all associated shares or rights are vested.</w:t>
            </w:r>
          </w:p>
        </w:tc>
        <w:tc>
          <w:tcPr>
            <w:tcW w:type="dxa" w:w="4248"/>
          </w:tcPr>
          <w:p>
            <w:pPr>
              <w:spacing w:after="80" w:before="60"/>
            </w:pPr>
            <w:r>
              <w:rPr>
                <w:sz w:val="19"/>
              </w:rPr>
              <w:t>May produce issued restricted shares with repurchase conditions; do not count vesting twice.</w:t>
            </w:r>
          </w:p>
        </w:tc>
      </w:tr>
      <w:tr>
        <w:trPr>
          <w:cantSplit/>
        </w:trPr>
        <w:tc>
          <w:tcPr>
            <w:tcW w:type="dxa" w:w="2160"/>
          </w:tcPr>
          <w:p>
            <w:pPr>
              <w:spacing w:after="80" w:before="60"/>
            </w:pPr>
            <w:r>
              <w:rPr>
                <w:sz w:val="19"/>
              </w:rPr>
              <w:t>Cash exercise</w:t>
            </w:r>
          </w:p>
        </w:tc>
        <w:tc>
          <w:tcPr>
            <w:tcW w:type="dxa" w:w="3816"/>
          </w:tcPr>
          <w:p>
            <w:pPr>
              <w:spacing w:after="80" w:before="60"/>
            </w:pPr>
            <w:r>
              <w:rPr>
                <w:sz w:val="19"/>
              </w:rPr>
              <w:t>Exercise funded by the holder paying the required amount.</w:t>
            </w:r>
          </w:p>
        </w:tc>
        <w:tc>
          <w:tcPr>
            <w:tcW w:type="dxa" w:w="4248"/>
          </w:tcPr>
          <w:p>
            <w:pPr>
              <w:spacing w:after="80" w:before="60"/>
            </w:pPr>
            <w:r>
              <w:rPr>
                <w:sz w:val="19"/>
              </w:rPr>
              <w:t>Creates cash and underlying shares only after the required entitlement and settlement checks.</w:t>
            </w:r>
          </w:p>
        </w:tc>
      </w:tr>
      <w:tr>
        <w:trPr>
          <w:cantSplit/>
        </w:trPr>
        <w:tc>
          <w:tcPr>
            <w:tcW w:type="dxa" w:w="2160"/>
          </w:tcPr>
          <w:p>
            <w:pPr>
              <w:spacing w:after="80" w:before="60"/>
            </w:pPr>
            <w:r>
              <w:rPr>
                <w:sz w:val="19"/>
              </w:rPr>
              <w:t>Net exercise or cashless exercise</w:t>
            </w:r>
          </w:p>
        </w:tc>
        <w:tc>
          <w:tcPr>
            <w:tcW w:type="dxa" w:w="3816"/>
          </w:tcPr>
          <w:p>
            <w:pPr>
              <w:spacing w:after="80" w:before="60"/>
            </w:pPr>
            <w:r>
              <w:rPr>
                <w:sz w:val="19"/>
              </w:rPr>
              <w:t>Exercise using a defined net-share, broker-sale or other cashless mechanism.</w:t>
            </w:r>
          </w:p>
        </w:tc>
        <w:tc>
          <w:tcPr>
            <w:tcW w:type="dxa" w:w="4248"/>
          </w:tcPr>
          <w:p>
            <w:pPr>
              <w:spacing w:after="80" w:before="60"/>
            </w:pPr>
            <w:r>
              <w:rPr>
                <w:sz w:val="19"/>
              </w:rPr>
              <w:t>Use the actual method; the common net-share formula is not universal.</w:t>
            </w:r>
          </w:p>
        </w:tc>
      </w:tr>
      <w:tr>
        <w:trPr>
          <w:cantSplit/>
        </w:trPr>
        <w:tc>
          <w:tcPr>
            <w:tcW w:type="dxa" w:w="2160"/>
          </w:tcPr>
          <w:p>
            <w:pPr>
              <w:spacing w:after="80" w:before="60"/>
            </w:pPr>
            <w:r>
              <w:rPr>
                <w:sz w:val="19"/>
              </w:rPr>
              <w:t>RSU or restricted stock unit</w:t>
            </w:r>
          </w:p>
        </w:tc>
        <w:tc>
          <w:tcPr>
            <w:tcW w:type="dxa" w:w="3816"/>
          </w:tcPr>
          <w:p>
            <w:pPr>
              <w:spacing w:after="80" w:before="60"/>
            </w:pPr>
            <w:r>
              <w:rPr>
                <w:sz w:val="19"/>
              </w:rPr>
              <w:t>A promise to settle specified value or shares after required conditions.</w:t>
            </w:r>
          </w:p>
        </w:tc>
        <w:tc>
          <w:tcPr>
            <w:tcW w:type="dxa" w:w="4248"/>
          </w:tcPr>
          <w:p>
            <w:pPr>
              <w:spacing w:after="80" w:before="60"/>
            </w:pPr>
            <w:r>
              <w:rPr>
                <w:sz w:val="19"/>
              </w:rPr>
              <w:t>Separate vesting from settlement; unissued units do not automatically have shareholder votes.</w:t>
            </w:r>
          </w:p>
        </w:tc>
      </w:tr>
      <w:tr>
        <w:trPr>
          <w:cantSplit/>
        </w:trPr>
        <w:tc>
          <w:tcPr>
            <w:tcW w:type="dxa" w:w="2160"/>
          </w:tcPr>
          <w:p>
            <w:pPr>
              <w:spacing w:after="80" w:before="60"/>
            </w:pPr>
            <w:r>
              <w:rPr>
                <w:sz w:val="19"/>
              </w:rPr>
              <w:t>Restricted stock</w:t>
            </w:r>
          </w:p>
        </w:tc>
        <w:tc>
          <w:tcPr>
            <w:tcW w:type="dxa" w:w="3816"/>
          </w:tcPr>
          <w:p>
            <w:pPr>
              <w:spacing w:after="80" w:before="60"/>
            </w:pPr>
            <w:r>
              <w:rPr>
                <w:sz w:val="19"/>
              </w:rPr>
              <w:t>Shares already issued subject to specified restrictions or repurchase rights.</w:t>
            </w:r>
          </w:p>
        </w:tc>
        <w:tc>
          <w:tcPr>
            <w:tcW w:type="dxa" w:w="4248"/>
          </w:tcPr>
          <w:p>
            <w:pPr>
              <w:spacing w:after="80" w:before="60"/>
            </w:pPr>
            <w:r>
              <w:rPr>
                <w:sz w:val="19"/>
              </w:rPr>
              <w:t>May count as issued ownership even while subject to vesting-related restrictions.</w:t>
            </w:r>
          </w:p>
        </w:tc>
      </w:tr>
      <w:tr>
        <w:trPr>
          <w:cantSplit/>
        </w:trPr>
        <w:tc>
          <w:tcPr>
            <w:tcW w:type="dxa" w:w="2160"/>
          </w:tcPr>
          <w:p>
            <w:pPr>
              <w:spacing w:after="80" w:before="60"/>
            </w:pPr>
            <w:r>
              <w:rPr>
                <w:sz w:val="19"/>
              </w:rPr>
              <w:t>SAR or stock appreciation right</w:t>
            </w:r>
          </w:p>
        </w:tc>
        <w:tc>
          <w:tcPr>
            <w:tcW w:type="dxa" w:w="3816"/>
          </w:tcPr>
          <w:p>
            <w:pPr>
              <w:spacing w:after="80" w:before="60"/>
            </w:pPr>
            <w:r>
              <w:rPr>
                <w:sz w:val="19"/>
              </w:rPr>
              <w:t>An award tied to appreciation above a specified base value.</w:t>
            </w:r>
          </w:p>
        </w:tc>
        <w:tc>
          <w:tcPr>
            <w:tcW w:type="dxa" w:w="4248"/>
          </w:tcPr>
          <w:p>
            <w:pPr>
              <w:spacing w:after="80" w:before="60"/>
            </w:pPr>
            <w:r>
              <w:rPr>
                <w:sz w:val="19"/>
              </w:rPr>
              <w:t>Cash or share settlement requires a defined valuation and payout rule.</w:t>
            </w:r>
          </w:p>
        </w:tc>
      </w:tr>
      <w:tr>
        <w:trPr>
          <w:cantSplit/>
        </w:trPr>
        <w:tc>
          <w:tcPr>
            <w:tcW w:type="dxa" w:w="2160"/>
          </w:tcPr>
          <w:p>
            <w:pPr>
              <w:spacing w:after="80" w:before="60"/>
            </w:pPr>
            <w:r>
              <w:rPr>
                <w:sz w:val="19"/>
              </w:rPr>
              <w:t>Phantom equity</w:t>
            </w:r>
          </w:p>
        </w:tc>
        <w:tc>
          <w:tcPr>
            <w:tcW w:type="dxa" w:w="3816"/>
          </w:tcPr>
          <w:p>
            <w:pPr>
              <w:spacing w:after="80" w:before="60"/>
            </w:pPr>
            <w:r>
              <w:rPr>
                <w:sz w:val="19"/>
              </w:rPr>
              <w:t>A contractual economic award resembling equity without necessarily creating legal shares.</w:t>
            </w:r>
          </w:p>
        </w:tc>
        <w:tc>
          <w:tcPr>
            <w:tcW w:type="dxa" w:w="4248"/>
          </w:tcPr>
          <w:p>
            <w:pPr>
              <w:spacing w:after="80" w:before="60"/>
            </w:pPr>
            <w:r>
              <w:rPr>
                <w:sz w:val="19"/>
              </w:rPr>
              <w:t>Model an obligation or payout claim; do not automatically add shareholder ownership.</w:t>
            </w:r>
          </w:p>
        </w:tc>
      </w:tr>
      <w:tr>
        <w:trPr>
          <w:cantSplit/>
        </w:trPr>
        <w:tc>
          <w:tcPr>
            <w:tcW w:type="dxa" w:w="2160"/>
          </w:tcPr>
          <w:p>
            <w:pPr>
              <w:spacing w:after="80" w:before="60"/>
            </w:pPr>
            <w:r>
              <w:rPr>
                <w:sz w:val="19"/>
              </w:rPr>
              <w:t>Settlement and withholding</w:t>
            </w:r>
          </w:p>
        </w:tc>
        <w:tc>
          <w:tcPr>
            <w:tcW w:type="dxa" w:w="3816"/>
          </w:tcPr>
          <w:p>
            <w:pPr>
              <w:spacing w:after="80" w:before="60"/>
            </w:pPr>
            <w:r>
              <w:rPr>
                <w:sz w:val="19"/>
              </w:rPr>
              <w:t>Delivering award shares/cash and retaining required tax or other amounts.</w:t>
            </w:r>
          </w:p>
        </w:tc>
        <w:tc>
          <w:tcPr>
            <w:tcW w:type="dxa" w:w="4248"/>
          </w:tcPr>
          <w:p>
            <w:pPr>
              <w:spacing w:after="80" w:before="60"/>
            </w:pPr>
            <w:r>
              <w:rPr>
                <w:sz w:val="19"/>
              </w:rPr>
              <w:t>Reconcile gross entitlement, withheld amounts and net delivery; use supplied or verified tax inputs.</w:t>
            </w:r>
          </w:p>
        </w:tc>
      </w:tr>
    </w:tbl>
    <w:p>
      <w:pPr>
        <w:spacing w:after="0"/>
      </w:pPr>
    </w:p>
    <w:p>
      <w:r>
        <w:br w:type="page"/>
      </w:r>
    </w:p>
    <w:p>
      <w:pPr>
        <w:pStyle w:val="Heading1"/>
      </w:pPr>
      <w:r>
        <w:t>T12 Pool capacity terminations and award changes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Option pool</w:t>
            </w:r>
          </w:p>
        </w:tc>
        <w:tc>
          <w:tcPr>
            <w:tcW w:type="dxa" w:w="3816"/>
          </w:tcPr>
          <w:p>
            <w:pPr>
              <w:spacing w:after="80" w:before="60"/>
            </w:pPr>
            <w:r>
              <w:rPr>
                <w:sz w:val="19"/>
              </w:rPr>
              <w:t>Shares reserved under a defined employee award plan or financing definition.</w:t>
            </w:r>
          </w:p>
        </w:tc>
        <w:tc>
          <w:tcPr>
            <w:tcW w:type="dxa" w:w="4248"/>
          </w:tcPr>
          <w:p>
            <w:pPr>
              <w:spacing w:after="80" w:before="60"/>
            </w:pPr>
            <w:r>
              <w:rPr>
                <w:sz w:val="19"/>
              </w:rPr>
              <w:t>May mean unallocated reserve or a wider plan total; require the intended definition.</w:t>
            </w:r>
          </w:p>
        </w:tc>
      </w:tr>
      <w:tr>
        <w:trPr>
          <w:cantSplit/>
        </w:trPr>
        <w:tc>
          <w:tcPr>
            <w:tcW w:type="dxa" w:w="2160"/>
          </w:tcPr>
          <w:p>
            <w:pPr>
              <w:spacing w:after="80" w:before="60"/>
            </w:pPr>
            <w:r>
              <w:rPr>
                <w:sz w:val="19"/>
              </w:rPr>
              <w:t>Unallocated pool</w:t>
            </w:r>
          </w:p>
        </w:tc>
        <w:tc>
          <w:tcPr>
            <w:tcW w:type="dxa" w:w="3816"/>
          </w:tcPr>
          <w:p>
            <w:pPr>
              <w:spacing w:after="80" w:before="60"/>
            </w:pPr>
            <w:r>
              <w:rPr>
                <w:sz w:val="19"/>
              </w:rPr>
              <w:t>Plan reserve not yet committed to granted or otherwise included awards.</w:t>
            </w:r>
          </w:p>
        </w:tc>
        <w:tc>
          <w:tcPr>
            <w:tcW w:type="dxa" w:w="4248"/>
          </w:tcPr>
          <w:p>
            <w:pPr>
              <w:spacing w:after="80" w:before="60"/>
            </w:pPr>
            <w:r>
              <w:rPr>
                <w:sz w:val="19"/>
              </w:rPr>
              <w:t>Can enter financing dilution definitions, but has no holder votes or direct sale payout.</w:t>
            </w:r>
          </w:p>
        </w:tc>
      </w:tr>
      <w:tr>
        <w:trPr>
          <w:cantSplit/>
        </w:trPr>
        <w:tc>
          <w:tcPr>
            <w:tcW w:type="dxa" w:w="2160"/>
          </w:tcPr>
          <w:p>
            <w:pPr>
              <w:spacing w:after="80" w:before="60"/>
            </w:pPr>
            <w:r>
              <w:rPr>
                <w:sz w:val="19"/>
              </w:rPr>
              <w:t>Granted outstanding awards</w:t>
            </w:r>
          </w:p>
        </w:tc>
        <w:tc>
          <w:tcPr>
            <w:tcW w:type="dxa" w:w="3816"/>
          </w:tcPr>
          <w:p>
            <w:pPr>
              <w:spacing w:after="80" w:before="60"/>
            </w:pPr>
            <w:r>
              <w:rPr>
                <w:sz w:val="19"/>
              </w:rPr>
              <w:t>Awards already granted and not fully exercised, settled, cancelled or expired.</w:t>
            </w:r>
          </w:p>
        </w:tc>
        <w:tc>
          <w:tcPr>
            <w:tcW w:type="dxa" w:w="4248"/>
          </w:tcPr>
          <w:p>
            <w:pPr>
              <w:spacing w:after="80" w:before="60"/>
            </w:pPr>
            <w:r>
              <w:rPr>
                <w:sz w:val="19"/>
              </w:rPr>
              <w:t>Count once in applicable plan obligations and fully diluted views.</w:t>
            </w:r>
          </w:p>
        </w:tc>
      </w:tr>
      <w:tr>
        <w:trPr>
          <w:cantSplit/>
        </w:trPr>
        <w:tc>
          <w:tcPr>
            <w:tcW w:type="dxa" w:w="2160"/>
          </w:tcPr>
          <w:p>
            <w:pPr>
              <w:spacing w:after="80" w:before="60"/>
            </w:pPr>
            <w:r>
              <w:rPr>
                <w:sz w:val="19"/>
              </w:rPr>
              <w:t>Promised awards</w:t>
            </w:r>
          </w:p>
        </w:tc>
        <w:tc>
          <w:tcPr>
            <w:tcW w:type="dxa" w:w="3816"/>
          </w:tcPr>
          <w:p>
            <w:pPr>
              <w:spacing w:after="80" w:before="60"/>
            </w:pPr>
            <w:r>
              <w:rPr>
                <w:sz w:val="19"/>
              </w:rPr>
              <w:t>Commitments to future grants not yet recorded as approved grants.</w:t>
            </w:r>
          </w:p>
        </w:tc>
        <w:tc>
          <w:tcPr>
            <w:tcW w:type="dxa" w:w="4248"/>
          </w:tcPr>
          <w:p>
            <w:pPr>
              <w:spacing w:after="80" w:before="60"/>
            </w:pPr>
            <w:r>
              <w:rPr>
                <w:sz w:val="19"/>
              </w:rPr>
              <w:t>Keep separate; include only under the contractual definition and do not duplicate reserve usage.</w:t>
            </w:r>
          </w:p>
        </w:tc>
      </w:tr>
      <w:tr>
        <w:trPr>
          <w:cantSplit/>
        </w:trPr>
        <w:tc>
          <w:tcPr>
            <w:tcW w:type="dxa" w:w="2160"/>
          </w:tcPr>
          <w:p>
            <w:pPr>
              <w:spacing w:after="80" w:before="60"/>
            </w:pPr>
            <w:r>
              <w:rPr>
                <w:sz w:val="19"/>
              </w:rPr>
              <w:t>Pool top-up or refresh</w:t>
            </w:r>
          </w:p>
        </w:tc>
        <w:tc>
          <w:tcPr>
            <w:tcW w:type="dxa" w:w="3816"/>
          </w:tcPr>
          <w:p>
            <w:pPr>
              <w:spacing w:after="80" w:before="60"/>
            </w:pPr>
            <w:r>
              <w:rPr>
                <w:sz w:val="19"/>
              </w:rPr>
              <w:t>An increase to the plan or financing-defined pool.</w:t>
            </w:r>
          </w:p>
        </w:tc>
        <w:tc>
          <w:tcPr>
            <w:tcW w:type="dxa" w:w="4248"/>
          </w:tcPr>
          <w:p>
            <w:pPr>
              <w:spacing w:after="80" w:before="60"/>
            </w:pPr>
            <w:r>
              <w:rPr>
                <w:sz w:val="19"/>
              </w:rPr>
              <w:t>Round solver calculates extra reserve using the exact target and capitalization definition.</w:t>
            </w:r>
          </w:p>
        </w:tc>
      </w:tr>
      <w:tr>
        <w:trPr>
          <w:cantSplit/>
        </w:trPr>
        <w:tc>
          <w:tcPr>
            <w:tcW w:type="dxa" w:w="2160"/>
          </w:tcPr>
          <w:p>
            <w:pPr>
              <w:spacing w:after="80" w:before="60"/>
            </w:pPr>
            <w:r>
              <w:rPr>
                <w:sz w:val="19"/>
              </w:rPr>
              <w:t>Pre-money versus post-money pool increase</w:t>
            </w:r>
          </w:p>
        </w:tc>
        <w:tc>
          <w:tcPr>
            <w:tcW w:type="dxa" w:w="3816"/>
          </w:tcPr>
          <w:p>
            <w:pPr>
              <w:spacing w:after="80" w:before="60"/>
            </w:pPr>
            <w:r>
              <w:rPr>
                <w:sz w:val="19"/>
              </w:rPr>
              <w:t>Whether the financing price and dilution treat the pool increase before or after the new investment.</w:t>
            </w:r>
          </w:p>
        </w:tc>
        <w:tc>
          <w:tcPr>
            <w:tcW w:type="dxa" w:w="4248"/>
          </w:tcPr>
          <w:p>
            <w:pPr>
              <w:spacing w:after="80" w:before="60"/>
            </w:pPr>
            <w:r>
              <w:rPr>
                <w:sz w:val="19"/>
              </w:rPr>
              <w:t>Changes who bears dilution and may couple the round and conversion equations.</w:t>
            </w:r>
          </w:p>
        </w:tc>
      </w:tr>
      <w:tr>
        <w:trPr>
          <w:cantSplit/>
        </w:trPr>
        <w:tc>
          <w:tcPr>
            <w:tcW w:type="dxa" w:w="2160"/>
          </w:tcPr>
          <w:p>
            <w:pPr>
              <w:spacing w:after="80" w:before="60"/>
            </w:pPr>
            <w:r>
              <w:rPr>
                <w:sz w:val="19"/>
              </w:rPr>
              <w:t>Forfeiture</w:t>
            </w:r>
          </w:p>
        </w:tc>
        <w:tc>
          <w:tcPr>
            <w:tcW w:type="dxa" w:w="3816"/>
          </w:tcPr>
          <w:p>
            <w:pPr>
              <w:spacing w:after="80" w:before="60"/>
            </w:pPr>
            <w:r>
              <w:rPr>
                <w:sz w:val="19"/>
              </w:rPr>
              <w:t>Loss of an award or portion under its terms, often after service ends.</w:t>
            </w:r>
          </w:p>
        </w:tc>
        <w:tc>
          <w:tcPr>
            <w:tcW w:type="dxa" w:w="4248"/>
          </w:tcPr>
          <w:p>
            <w:pPr>
              <w:spacing w:after="80" w:before="60"/>
            </w:pPr>
            <w:r>
              <w:rPr>
                <w:sz w:val="19"/>
              </w:rPr>
              <w:t>Reduces eligible rights and may return capacity only under the plan rules.</w:t>
            </w:r>
          </w:p>
        </w:tc>
      </w:tr>
      <w:tr>
        <w:trPr>
          <w:cantSplit/>
        </w:trPr>
        <w:tc>
          <w:tcPr>
            <w:tcW w:type="dxa" w:w="2160"/>
          </w:tcPr>
          <w:p>
            <w:pPr>
              <w:spacing w:after="80" w:before="60"/>
            </w:pPr>
            <w:r>
              <w:rPr>
                <w:sz w:val="19"/>
              </w:rPr>
              <w:t>Cancellation or expiration of an award</w:t>
            </w:r>
          </w:p>
        </w:tc>
        <w:tc>
          <w:tcPr>
            <w:tcW w:type="dxa" w:w="3816"/>
          </w:tcPr>
          <w:p>
            <w:pPr>
              <w:spacing w:after="80" w:before="60"/>
            </w:pPr>
            <w:r>
              <w:rPr>
                <w:sz w:val="19"/>
              </w:rPr>
              <w:t>Approved termination or reaching the contractual end of the award.</w:t>
            </w:r>
          </w:p>
        </w:tc>
        <w:tc>
          <w:tcPr>
            <w:tcW w:type="dxa" w:w="4248"/>
          </w:tcPr>
          <w:p>
            <w:pPr>
              <w:spacing w:after="80" w:before="60"/>
            </w:pPr>
            <w:r>
              <w:rPr>
                <w:sz w:val="19"/>
              </w:rPr>
              <w:t>Prevents later exercise; capacity return and already-issued shares need separate handling.</w:t>
            </w:r>
          </w:p>
        </w:tc>
      </w:tr>
      <w:tr>
        <w:trPr>
          <w:cantSplit/>
        </w:trPr>
        <w:tc>
          <w:tcPr>
            <w:tcW w:type="dxa" w:w="2160"/>
          </w:tcPr>
          <w:p>
            <w:pPr>
              <w:spacing w:after="80" w:before="60"/>
            </w:pPr>
            <w:r>
              <w:rPr>
                <w:sz w:val="19"/>
              </w:rPr>
              <w:t>Post-termination exercise window</w:t>
            </w:r>
          </w:p>
        </w:tc>
        <w:tc>
          <w:tcPr>
            <w:tcW w:type="dxa" w:w="3816"/>
          </w:tcPr>
          <w:p>
            <w:pPr>
              <w:spacing w:after="80" w:before="60"/>
            </w:pPr>
            <w:r>
              <w:rPr>
                <w:sz w:val="19"/>
              </w:rPr>
              <w:t>The allowed exercise period after a holder leaves service.</w:t>
            </w:r>
          </w:p>
        </w:tc>
        <w:tc>
          <w:tcPr>
            <w:tcW w:type="dxa" w:w="4248"/>
          </w:tcPr>
          <w:p>
            <w:pPr>
              <w:spacing w:after="80" w:before="60"/>
            </w:pPr>
            <w:r>
              <w:rPr>
                <w:sz w:val="19"/>
              </w:rPr>
              <w:t>Combines with contractual expiry and status rules; do not assume a universal duration.</w:t>
            </w:r>
          </w:p>
        </w:tc>
      </w:tr>
      <w:tr>
        <w:trPr>
          <w:cantSplit/>
        </w:trPr>
        <w:tc>
          <w:tcPr>
            <w:tcW w:type="dxa" w:w="2160"/>
          </w:tcPr>
          <w:p>
            <w:pPr>
              <w:spacing w:after="80" w:before="60"/>
            </w:pPr>
            <w:r>
              <w:rPr>
                <w:sz w:val="19"/>
              </w:rPr>
              <w:t>Leave of absence and service cutoff</w:t>
            </w:r>
          </w:p>
        </w:tc>
        <w:tc>
          <w:tcPr>
            <w:tcW w:type="dxa" w:w="3816"/>
          </w:tcPr>
          <w:p>
            <w:pPr>
              <w:spacing w:after="80" w:before="60"/>
            </w:pPr>
            <w:r>
              <w:rPr>
                <w:sz w:val="19"/>
              </w:rPr>
              <w:t>A service interruption and the date through which qualifying service is recognized.</w:t>
            </w:r>
          </w:p>
        </w:tc>
        <w:tc>
          <w:tcPr>
            <w:tcW w:type="dxa" w:w="4248"/>
          </w:tcPr>
          <w:p>
            <w:pPr>
              <w:spacing w:after="80" w:before="60"/>
            </w:pPr>
            <w:r>
              <w:rPr>
                <w:sz w:val="19"/>
              </w:rPr>
              <w:t>May alter vesting and exercise entitlement under confirmed terms.</w:t>
            </w:r>
          </w:p>
        </w:tc>
      </w:tr>
      <w:tr>
        <w:trPr>
          <w:cantSplit/>
        </w:trPr>
        <w:tc>
          <w:tcPr>
            <w:tcW w:type="dxa" w:w="2160"/>
          </w:tcPr>
          <w:p>
            <w:pPr>
              <w:spacing w:after="80" w:before="60"/>
            </w:pPr>
            <w:r>
              <w:rPr>
                <w:sz w:val="19"/>
              </w:rPr>
              <w:t>Repricing or award modification</w:t>
            </w:r>
          </w:p>
        </w:tc>
        <w:tc>
          <w:tcPr>
            <w:tcW w:type="dxa" w:w="3816"/>
          </w:tcPr>
          <w:p>
            <w:pPr>
              <w:spacing w:after="80" w:before="60"/>
            </w:pPr>
            <w:r>
              <w:rPr>
                <w:sz w:val="19"/>
              </w:rPr>
              <w:t>An approved change to exercise price, quantity or other award terms.</w:t>
            </w:r>
          </w:p>
        </w:tc>
        <w:tc>
          <w:tcPr>
            <w:tcW w:type="dxa" w:w="4248"/>
          </w:tcPr>
          <w:p>
            <w:pPr>
              <w:spacing w:after="80" w:before="60"/>
            </w:pPr>
            <w:r>
              <w:rPr>
                <w:sz w:val="19"/>
              </w:rPr>
              <w:t>Version the change; recalculate affected rights and use separate accounting/tax services where required.</w:t>
            </w:r>
          </w:p>
        </w:tc>
      </w:tr>
      <w:tr>
        <w:trPr>
          <w:cantSplit/>
        </w:trPr>
        <w:tc>
          <w:tcPr>
            <w:tcW w:type="dxa" w:w="2160"/>
          </w:tcPr>
          <w:p>
            <w:pPr>
              <w:spacing w:after="80" w:before="60"/>
            </w:pPr>
            <w:r>
              <w:rPr>
                <w:sz w:val="19"/>
              </w:rPr>
              <w:t>Repurchase right over unvested stock</w:t>
            </w:r>
          </w:p>
        </w:tc>
        <w:tc>
          <w:tcPr>
            <w:tcW w:type="dxa" w:w="3816"/>
          </w:tcPr>
          <w:p>
            <w:pPr>
              <w:spacing w:after="80" w:before="60"/>
            </w:pPr>
            <w:r>
              <w:rPr>
                <w:sz w:val="19"/>
              </w:rPr>
              <w:t>A contractual right to buy back specified issued shares after a defined event.</w:t>
            </w:r>
          </w:p>
        </w:tc>
        <w:tc>
          <w:tcPr>
            <w:tcW w:type="dxa" w:w="4248"/>
          </w:tcPr>
          <w:p>
            <w:pPr>
              <w:spacing w:after="80" w:before="60"/>
            </w:pPr>
            <w:r>
              <w:rPr>
                <w:sz w:val="19"/>
              </w:rPr>
              <w:t>Track issued shares and the right separately until an actual repurchase occurs.</w:t>
            </w:r>
          </w:p>
        </w:tc>
      </w:tr>
    </w:tbl>
    <w:p>
      <w:pPr>
        <w:spacing w:after="0"/>
      </w:pPr>
    </w:p>
    <w:p>
      <w:r>
        <w:br w:type="page"/>
      </w:r>
    </w:p>
    <w:p>
      <w:pPr>
        <w:pStyle w:val="Heading1"/>
      </w:pPr>
      <w:r>
        <w:t>T13 Preferences and sale participation</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Liquidation preference</w:t>
            </w:r>
          </w:p>
        </w:tc>
        <w:tc>
          <w:tcPr>
            <w:tcW w:type="dxa" w:w="3816"/>
          </w:tcPr>
          <w:p>
            <w:pPr>
              <w:spacing w:after="80" w:before="60"/>
            </w:pPr>
            <w:r>
              <w:rPr>
                <w:sz w:val="19"/>
              </w:rPr>
              <w:t>A specified payment entitlement and priority in a qualifying sale or liquidation.</w:t>
            </w:r>
          </w:p>
        </w:tc>
        <w:tc>
          <w:tcPr>
            <w:tcW w:type="dxa" w:w="4248"/>
          </w:tcPr>
          <w:p>
            <w:pPr>
              <w:spacing w:after="80" w:before="60"/>
            </w:pPr>
            <w:r>
              <w:rPr>
                <w:sz w:val="19"/>
              </w:rPr>
              <w:t>Waterfall service derives the claim from its actual base, multiplier and applicable event.</w:t>
            </w:r>
          </w:p>
        </w:tc>
      </w:tr>
      <w:tr>
        <w:trPr>
          <w:cantSplit/>
        </w:trPr>
        <w:tc>
          <w:tcPr>
            <w:tcW w:type="dxa" w:w="2160"/>
          </w:tcPr>
          <w:p>
            <w:pPr>
              <w:spacing w:after="80" w:before="60"/>
            </w:pPr>
            <w:r>
              <w:rPr>
                <w:sz w:val="19"/>
              </w:rPr>
              <w:t>Liquidation base</w:t>
            </w:r>
          </w:p>
        </w:tc>
        <w:tc>
          <w:tcPr>
            <w:tcW w:type="dxa" w:w="3816"/>
          </w:tcPr>
          <w:p>
            <w:pPr>
              <w:spacing w:after="80" w:before="60"/>
            </w:pPr>
            <w:r>
              <w:rPr>
                <w:sz w:val="19"/>
              </w:rPr>
              <w:t>The money amount per share or aggregate amount on which a preference is measured.</w:t>
            </w:r>
          </w:p>
        </w:tc>
        <w:tc>
          <w:tcPr>
            <w:tcW w:type="dxa" w:w="4248"/>
          </w:tcPr>
          <w:p>
            <w:pPr>
              <w:spacing w:after="80" w:before="60"/>
            </w:pPr>
            <w:r>
              <w:rPr>
                <w:sz w:val="19"/>
              </w:rPr>
              <w:t>Determine whether the base is per share or aggregate before multiplying by quantity.</w:t>
            </w:r>
          </w:p>
        </w:tc>
      </w:tr>
      <w:tr>
        <w:trPr>
          <w:cantSplit/>
        </w:trPr>
        <w:tc>
          <w:tcPr>
            <w:tcW w:type="dxa" w:w="2160"/>
          </w:tcPr>
          <w:p>
            <w:pPr>
              <w:spacing w:after="80" w:before="60"/>
            </w:pPr>
            <w:r>
              <w:rPr>
                <w:sz w:val="19"/>
              </w:rPr>
              <w:t>Preference multiple</w:t>
            </w:r>
          </w:p>
        </w:tc>
        <w:tc>
          <w:tcPr>
            <w:tcW w:type="dxa" w:w="3816"/>
          </w:tcPr>
          <w:p>
            <w:pPr>
              <w:spacing w:after="80" w:before="60"/>
            </w:pPr>
            <w:r>
              <w:rPr>
                <w:sz w:val="19"/>
              </w:rPr>
              <w:t>The factor applied to the specified preference base, such as 1x or 2x.</w:t>
            </w:r>
          </w:p>
        </w:tc>
        <w:tc>
          <w:tcPr>
            <w:tcW w:type="dxa" w:w="4248"/>
          </w:tcPr>
          <w:p>
            <w:pPr>
              <w:spacing w:after="80" w:before="60"/>
            </w:pPr>
            <w:r>
              <w:rPr>
                <w:sz w:val="19"/>
              </w:rPr>
              <w:t>Multiply only the defined base; add dividends only if the terms require them.</w:t>
            </w:r>
          </w:p>
        </w:tc>
      </w:tr>
      <w:tr>
        <w:trPr>
          <w:cantSplit/>
        </w:trPr>
        <w:tc>
          <w:tcPr>
            <w:tcW w:type="dxa" w:w="2160"/>
          </w:tcPr>
          <w:p>
            <w:pPr>
              <w:spacing w:after="80" w:before="60"/>
            </w:pPr>
            <w:r>
              <w:rPr>
                <w:sz w:val="19"/>
              </w:rPr>
              <w:t>Nonparticipating preferred</w:t>
            </w:r>
          </w:p>
        </w:tc>
        <w:tc>
          <w:tcPr>
            <w:tcW w:type="dxa" w:w="3816"/>
          </w:tcPr>
          <w:p>
            <w:pPr>
              <w:spacing w:after="80" w:before="60"/>
            </w:pPr>
            <w:r>
              <w:rPr>
                <w:sz w:val="19"/>
              </w:rPr>
              <w:t>Preferred that receives its permitted preference treatment or as-converted treatment rather than both.</w:t>
            </w:r>
          </w:p>
        </w:tc>
        <w:tc>
          <w:tcPr>
            <w:tcW w:type="dxa" w:w="4248"/>
          </w:tcPr>
          <w:p>
            <w:pPr>
              <w:spacing w:after="80" w:before="60"/>
            </w:pPr>
            <w:r>
              <w:rPr>
                <w:sz w:val="19"/>
              </w:rPr>
              <w:t>Compare allowed outcomes within the full waterfall and actual election rules.</w:t>
            </w:r>
          </w:p>
        </w:tc>
      </w:tr>
      <w:tr>
        <w:trPr>
          <w:cantSplit/>
        </w:trPr>
        <w:tc>
          <w:tcPr>
            <w:tcW w:type="dxa" w:w="2160"/>
          </w:tcPr>
          <w:p>
            <w:pPr>
              <w:spacing w:after="80" w:before="60"/>
            </w:pPr>
            <w:r>
              <w:rPr>
                <w:sz w:val="19"/>
              </w:rPr>
              <w:t>Participating preferred</w:t>
            </w:r>
          </w:p>
        </w:tc>
        <w:tc>
          <w:tcPr>
            <w:tcW w:type="dxa" w:w="3816"/>
          </w:tcPr>
          <w:p>
            <w:pPr>
              <w:spacing w:after="80" w:before="60"/>
            </w:pPr>
            <w:r>
              <w:rPr>
                <w:sz w:val="19"/>
              </w:rPr>
              <w:t>Preferred entitled to specified preference and residual participation under its terms.</w:t>
            </w:r>
          </w:p>
        </w:tc>
        <w:tc>
          <w:tcPr>
            <w:tcW w:type="dxa" w:w="4248"/>
          </w:tcPr>
          <w:p>
            <w:pPr>
              <w:spacing w:after="80" w:before="60"/>
            </w:pPr>
            <w:r>
              <w:rPr>
                <w:sz w:val="19"/>
              </w:rPr>
              <w:t>Allocate the priority claim and then eligible residual participation without double counting.</w:t>
            </w:r>
          </w:p>
        </w:tc>
      </w:tr>
      <w:tr>
        <w:trPr>
          <w:cantSplit/>
        </w:trPr>
        <w:tc>
          <w:tcPr>
            <w:tcW w:type="dxa" w:w="2160"/>
          </w:tcPr>
          <w:p>
            <w:pPr>
              <w:spacing w:after="80" w:before="60"/>
            </w:pPr>
            <w:r>
              <w:rPr>
                <w:sz w:val="19"/>
              </w:rPr>
              <w:t>Capped participation</w:t>
            </w:r>
          </w:p>
        </w:tc>
        <w:tc>
          <w:tcPr>
            <w:tcW w:type="dxa" w:w="3816"/>
          </w:tcPr>
          <w:p>
            <w:pPr>
              <w:spacing w:after="80" w:before="60"/>
            </w:pPr>
            <w:r>
              <w:rPr>
                <w:sz w:val="19"/>
              </w:rPr>
              <w:t>Participation subject to a defined payout ceiling.</w:t>
            </w:r>
          </w:p>
        </w:tc>
        <w:tc>
          <w:tcPr>
            <w:tcW w:type="dxa" w:w="4248"/>
          </w:tcPr>
          <w:p>
            <w:pPr>
              <w:spacing w:after="80" w:before="60"/>
            </w:pPr>
            <w:r>
              <w:rPr>
                <w:sz w:val="19"/>
              </w:rPr>
              <w:t>Track whether preference and dividends count toward the cap and whether conversion bypasses it.</w:t>
            </w:r>
          </w:p>
        </w:tc>
      </w:tr>
      <w:tr>
        <w:trPr>
          <w:cantSplit/>
        </w:trPr>
        <w:tc>
          <w:tcPr>
            <w:tcW w:type="dxa" w:w="2160"/>
          </w:tcPr>
          <w:p>
            <w:pPr>
              <w:spacing w:after="80" w:before="60"/>
            </w:pPr>
            <w:r>
              <w:rPr>
                <w:sz w:val="19"/>
              </w:rPr>
              <w:t>Seniority or priority rank</w:t>
            </w:r>
          </w:p>
        </w:tc>
        <w:tc>
          <w:tcPr>
            <w:tcW w:type="dxa" w:w="3816"/>
          </w:tcPr>
          <w:p>
            <w:pPr>
              <w:spacing w:after="80" w:before="60"/>
            </w:pPr>
            <w:r>
              <w:rPr>
                <w:sz w:val="19"/>
              </w:rPr>
              <w:t>The order in which specified claims are paid relative to others.</w:t>
            </w:r>
          </w:p>
        </w:tc>
        <w:tc>
          <w:tcPr>
            <w:tcW w:type="dxa" w:w="4248"/>
          </w:tcPr>
          <w:p>
            <w:pPr>
              <w:spacing w:after="80" w:before="60"/>
            </w:pPr>
            <w:r>
              <w:rPr>
                <w:sz w:val="19"/>
              </w:rPr>
              <w:t>Validate the priority relationships before allocating proceeds.</w:t>
            </w:r>
          </w:p>
        </w:tc>
      </w:tr>
      <w:tr>
        <w:trPr>
          <w:cantSplit/>
        </w:trPr>
        <w:tc>
          <w:tcPr>
            <w:tcW w:type="dxa" w:w="2160"/>
          </w:tcPr>
          <w:p>
            <w:pPr>
              <w:spacing w:after="80" w:before="60"/>
            </w:pPr>
            <w:r>
              <w:rPr>
                <w:sz w:val="19"/>
              </w:rPr>
              <w:t>Senior and junior claim</w:t>
            </w:r>
          </w:p>
        </w:tc>
        <w:tc>
          <w:tcPr>
            <w:tcW w:type="dxa" w:w="3816"/>
          </w:tcPr>
          <w:p>
            <w:pPr>
              <w:spacing w:after="80" w:before="60"/>
            </w:pPr>
            <w:r>
              <w:rPr>
                <w:sz w:val="19"/>
              </w:rPr>
              <w:t>A claim paid before, or after, another claim under the applicable priority rules.</w:t>
            </w:r>
          </w:p>
        </w:tc>
        <w:tc>
          <w:tcPr>
            <w:tcW w:type="dxa" w:w="4248"/>
          </w:tcPr>
          <w:p>
            <w:pPr>
              <w:spacing w:after="80" w:before="60"/>
            </w:pPr>
            <w:r>
              <w:rPr>
                <w:sz w:val="19"/>
              </w:rPr>
              <w:t>A lower-priority claim may receive nothing if earlier permitted claims consume the proceeds.</w:t>
            </w:r>
          </w:p>
        </w:tc>
      </w:tr>
      <w:tr>
        <w:trPr>
          <w:cantSplit/>
        </w:trPr>
        <w:tc>
          <w:tcPr>
            <w:tcW w:type="dxa" w:w="2160"/>
          </w:tcPr>
          <w:p>
            <w:pPr>
              <w:spacing w:after="80" w:before="60"/>
            </w:pPr>
            <w:r>
              <w:rPr>
                <w:sz w:val="19"/>
              </w:rPr>
              <w:t>Pari passu</w:t>
            </w:r>
          </w:p>
        </w:tc>
        <w:tc>
          <w:tcPr>
            <w:tcW w:type="dxa" w:w="3816"/>
          </w:tcPr>
          <w:p>
            <w:pPr>
              <w:spacing w:after="80" w:before="60"/>
            </w:pPr>
            <w:r>
              <w:rPr>
                <w:sz w:val="19"/>
              </w:rPr>
              <w:t>Claims sharing an equal priority tier under a defined sharing rule.</w:t>
            </w:r>
          </w:p>
        </w:tc>
        <w:tc>
          <w:tcPr>
            <w:tcW w:type="dxa" w:w="4248"/>
          </w:tcPr>
          <w:p>
            <w:pPr>
              <w:spacing w:after="80" w:before="60"/>
            </w:pPr>
            <w:r>
              <w:rPr>
                <w:sz w:val="19"/>
              </w:rPr>
              <w:t>Shortfalls are allocated by contractual weights; equal rank does not always mean equal dollars.</w:t>
            </w:r>
          </w:p>
        </w:tc>
      </w:tr>
      <w:tr>
        <w:trPr>
          <w:cantSplit/>
        </w:trPr>
        <w:tc>
          <w:tcPr>
            <w:tcW w:type="dxa" w:w="2160"/>
          </w:tcPr>
          <w:p>
            <w:pPr>
              <w:spacing w:after="80" w:before="60"/>
            </w:pPr>
            <w:r>
              <w:rPr>
                <w:sz w:val="19"/>
              </w:rPr>
              <w:t>Stacked preferences</w:t>
            </w:r>
          </w:p>
        </w:tc>
        <w:tc>
          <w:tcPr>
            <w:tcW w:type="dxa" w:w="3816"/>
          </w:tcPr>
          <w:p>
            <w:pPr>
              <w:spacing w:after="80" w:before="60"/>
            </w:pPr>
            <w:r>
              <w:rPr>
                <w:sz w:val="19"/>
              </w:rPr>
              <w:t>Preferences arranged in multiple priority levels.</w:t>
            </w:r>
          </w:p>
        </w:tc>
        <w:tc>
          <w:tcPr>
            <w:tcW w:type="dxa" w:w="4248"/>
          </w:tcPr>
          <w:p>
            <w:pPr>
              <w:spacing w:after="80" w:before="60"/>
            </w:pPr>
            <w:r>
              <w:rPr>
                <w:sz w:val="19"/>
              </w:rPr>
              <w:t>Pay the defined tiers in order, preserving each class or lot distinct rights.</w:t>
            </w:r>
          </w:p>
        </w:tc>
      </w:tr>
      <w:tr>
        <w:trPr>
          <w:cantSplit/>
        </w:trPr>
        <w:tc>
          <w:tcPr>
            <w:tcW w:type="dxa" w:w="2160"/>
          </w:tcPr>
          <w:p>
            <w:pPr>
              <w:spacing w:after="80" w:before="60"/>
            </w:pPr>
            <w:r>
              <w:rPr>
                <w:sz w:val="19"/>
              </w:rPr>
              <w:t>Conversion election group</w:t>
            </w:r>
          </w:p>
        </w:tc>
        <w:tc>
          <w:tcPr>
            <w:tcW w:type="dxa" w:w="3816"/>
          </w:tcPr>
          <w:p>
            <w:pPr>
              <w:spacing w:after="80" w:before="60"/>
            </w:pPr>
            <w:r>
              <w:rPr>
                <w:sz w:val="19"/>
              </w:rPr>
              <w:t>The holders or class whose conversion choice must be evaluated together.</w:t>
            </w:r>
          </w:p>
        </w:tc>
        <w:tc>
          <w:tcPr>
            <w:tcW w:type="dxa" w:w="4248"/>
          </w:tcPr>
          <w:p>
            <w:pPr>
              <w:spacing w:after="80" w:before="60"/>
            </w:pPr>
            <w:r>
              <w:rPr>
                <w:sz w:val="19"/>
              </w:rPr>
              <w:t>Controls the choices enumerated by a multi-class waterfall solver.</w:t>
            </w:r>
          </w:p>
        </w:tc>
      </w:tr>
      <w:tr>
        <w:trPr>
          <w:cantSplit/>
        </w:trPr>
        <w:tc>
          <w:tcPr>
            <w:tcW w:type="dxa" w:w="2160"/>
          </w:tcPr>
          <w:p>
            <w:pPr>
              <w:spacing w:after="80" w:before="60"/>
            </w:pPr>
            <w:r>
              <w:rPr>
                <w:sz w:val="19"/>
              </w:rPr>
              <w:t>Deemed liquidation event</w:t>
            </w:r>
          </w:p>
        </w:tc>
        <w:tc>
          <w:tcPr>
            <w:tcW w:type="dxa" w:w="3816"/>
          </w:tcPr>
          <w:p>
            <w:pPr>
              <w:spacing w:after="80" w:before="60"/>
            </w:pPr>
            <w:r>
              <w:rPr>
                <w:sz w:val="19"/>
              </w:rPr>
              <w:t>An event treated as a liquidation for specified economic rights, even if the company is not formally wound up.</w:t>
            </w:r>
          </w:p>
        </w:tc>
        <w:tc>
          <w:tcPr>
            <w:tcW w:type="dxa" w:w="4248"/>
          </w:tcPr>
          <w:p>
            <w:pPr>
              <w:spacing w:after="80" w:before="60"/>
            </w:pPr>
            <w:r>
              <w:rPr>
                <w:sz w:val="19"/>
              </w:rPr>
              <w:t>Determines whether preference and related payout rules apply to the proposed transaction.</w:t>
            </w:r>
          </w:p>
        </w:tc>
      </w:tr>
    </w:tbl>
    <w:p>
      <w:pPr>
        <w:spacing w:after="0"/>
      </w:pPr>
    </w:p>
    <w:p>
      <w:r>
        <w:br w:type="page"/>
      </w:r>
    </w:p>
    <w:p>
      <w:pPr>
        <w:pStyle w:val="Heading1"/>
      </w:pPr>
      <w:r>
        <w:t>T14 Dividends redemption and related equity claims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Dividend</w:t>
            </w:r>
          </w:p>
        </w:tc>
        <w:tc>
          <w:tcPr>
            <w:tcW w:type="dxa" w:w="3816"/>
          </w:tcPr>
          <w:p>
            <w:pPr>
              <w:spacing w:after="80" w:before="60"/>
            </w:pPr>
            <w:r>
              <w:rPr>
                <w:sz w:val="19"/>
              </w:rPr>
              <w:t>A cash, stock or other distribution under applicable declaration and share rights.</w:t>
            </w:r>
          </w:p>
        </w:tc>
        <w:tc>
          <w:tcPr>
            <w:tcW w:type="dxa" w:w="4248"/>
          </w:tcPr>
          <w:p>
            <w:pPr>
              <w:spacing w:after="80" w:before="60"/>
            </w:pPr>
            <w:r>
              <w:rPr>
                <w:sz w:val="19"/>
              </w:rPr>
              <w:t>Can create separate payments or shares; does not always accrue automatically.</w:t>
            </w:r>
          </w:p>
        </w:tc>
      </w:tr>
      <w:tr>
        <w:trPr>
          <w:cantSplit/>
        </w:trPr>
        <w:tc>
          <w:tcPr>
            <w:tcW w:type="dxa" w:w="2160"/>
          </w:tcPr>
          <w:p>
            <w:pPr>
              <w:spacing w:after="80" w:before="60"/>
            </w:pPr>
            <w:r>
              <w:rPr>
                <w:sz w:val="19"/>
              </w:rPr>
              <w:t>Cumulative dividend</w:t>
            </w:r>
          </w:p>
        </w:tc>
        <w:tc>
          <w:tcPr>
            <w:tcW w:type="dxa" w:w="3816"/>
          </w:tcPr>
          <w:p>
            <w:pPr>
              <w:spacing w:after="80" w:before="60"/>
            </w:pPr>
            <w:r>
              <w:rPr>
                <w:sz w:val="19"/>
              </w:rPr>
              <w:t>A dividend entitlement accumulating under the class terms.</w:t>
            </w:r>
          </w:p>
        </w:tc>
        <w:tc>
          <w:tcPr>
            <w:tcW w:type="dxa" w:w="4248"/>
          </w:tcPr>
          <w:p>
            <w:pPr>
              <w:spacing w:after="80" w:before="60"/>
            </w:pPr>
            <w:r>
              <w:rPr>
                <w:sz w:val="19"/>
              </w:rPr>
              <w:t>Accrual depends on the stated base, rate, dates and compounding treatment.</w:t>
            </w:r>
          </w:p>
        </w:tc>
      </w:tr>
      <w:tr>
        <w:trPr>
          <w:cantSplit/>
        </w:trPr>
        <w:tc>
          <w:tcPr>
            <w:tcW w:type="dxa" w:w="2160"/>
          </w:tcPr>
          <w:p>
            <w:pPr>
              <w:spacing w:after="80" w:before="60"/>
            </w:pPr>
            <w:r>
              <w:rPr>
                <w:sz w:val="19"/>
              </w:rPr>
              <w:t>Noncumulative dividend</w:t>
            </w:r>
          </w:p>
        </w:tc>
        <w:tc>
          <w:tcPr>
            <w:tcW w:type="dxa" w:w="3816"/>
          </w:tcPr>
          <w:p>
            <w:pPr>
              <w:spacing w:after="80" w:before="60"/>
            </w:pPr>
            <w:r>
              <w:rPr>
                <w:sz w:val="19"/>
              </w:rPr>
              <w:t>A dividend that does not automatically build an unpaid accumulating entitlement under its terms.</w:t>
            </w:r>
          </w:p>
        </w:tc>
        <w:tc>
          <w:tcPr>
            <w:tcW w:type="dxa" w:w="4248"/>
          </w:tcPr>
          <w:p>
            <w:pPr>
              <w:spacing w:after="80" w:before="60"/>
            </w:pPr>
            <w:r>
              <w:rPr>
                <w:sz w:val="19"/>
              </w:rPr>
              <w:t>Do not invent an accrued balance merely because a rate is listed.</w:t>
            </w:r>
          </w:p>
        </w:tc>
      </w:tr>
      <w:tr>
        <w:trPr>
          <w:cantSplit/>
        </w:trPr>
        <w:tc>
          <w:tcPr>
            <w:tcW w:type="dxa" w:w="2160"/>
          </w:tcPr>
          <w:p>
            <w:pPr>
              <w:spacing w:after="80" w:before="60"/>
            </w:pPr>
            <w:r>
              <w:rPr>
                <w:sz w:val="19"/>
              </w:rPr>
              <w:t>Declared versus accrued dividend</w:t>
            </w:r>
          </w:p>
        </w:tc>
        <w:tc>
          <w:tcPr>
            <w:tcW w:type="dxa" w:w="3816"/>
          </w:tcPr>
          <w:p>
            <w:pPr>
              <w:spacing w:after="80" w:before="60"/>
            </w:pPr>
            <w:r>
              <w:rPr>
                <w:sz w:val="19"/>
              </w:rPr>
              <w:t>A formally declared distribution versus an amount accumulated under a contractual accrual rule.</w:t>
            </w:r>
          </w:p>
        </w:tc>
        <w:tc>
          <w:tcPr>
            <w:tcW w:type="dxa" w:w="4248"/>
          </w:tcPr>
          <w:p>
            <w:pPr>
              <w:spacing w:after="80" w:before="60"/>
            </w:pPr>
            <w:r>
              <w:rPr>
                <w:sz w:val="19"/>
              </w:rPr>
              <w:t>Track separate states so payable, paid and capitalized amounts are not double counted.</w:t>
            </w:r>
          </w:p>
        </w:tc>
      </w:tr>
      <w:tr>
        <w:trPr>
          <w:cantSplit/>
        </w:trPr>
        <w:tc>
          <w:tcPr>
            <w:tcW w:type="dxa" w:w="2160"/>
          </w:tcPr>
          <w:p>
            <w:pPr>
              <w:spacing w:after="80" w:before="60"/>
            </w:pPr>
            <w:r>
              <w:rPr>
                <w:sz w:val="19"/>
              </w:rPr>
              <w:t>Participating dividend</w:t>
            </w:r>
          </w:p>
        </w:tc>
        <w:tc>
          <w:tcPr>
            <w:tcW w:type="dxa" w:w="3816"/>
          </w:tcPr>
          <w:p>
            <w:pPr>
              <w:spacing w:after="80" w:before="60"/>
            </w:pPr>
            <w:r>
              <w:rPr>
                <w:sz w:val="19"/>
              </w:rPr>
              <w:t>A right to share in specified dividends beyond or alongside another entitlement.</w:t>
            </w:r>
          </w:p>
        </w:tc>
        <w:tc>
          <w:tcPr>
            <w:tcW w:type="dxa" w:w="4248"/>
          </w:tcPr>
          <w:p>
            <w:pPr>
              <w:spacing w:after="80" w:before="60"/>
            </w:pPr>
            <w:r>
              <w:rPr>
                <w:sz w:val="19"/>
              </w:rPr>
              <w:t>Requires its own allocation rule; do not assume sale participation rules are identical.</w:t>
            </w:r>
          </w:p>
        </w:tc>
      </w:tr>
      <w:tr>
        <w:trPr>
          <w:cantSplit/>
        </w:trPr>
        <w:tc>
          <w:tcPr>
            <w:tcW w:type="dxa" w:w="2160"/>
          </w:tcPr>
          <w:p>
            <w:pPr>
              <w:spacing w:after="80" w:before="60"/>
            </w:pPr>
            <w:r>
              <w:rPr>
                <w:sz w:val="19"/>
              </w:rPr>
              <w:t>Stock dividend</w:t>
            </w:r>
          </w:p>
        </w:tc>
        <w:tc>
          <w:tcPr>
            <w:tcW w:type="dxa" w:w="3816"/>
          </w:tcPr>
          <w:p>
            <w:pPr>
              <w:spacing w:after="80" w:before="60"/>
            </w:pPr>
            <w:r>
              <w:rPr>
                <w:sz w:val="19"/>
              </w:rPr>
              <w:t>A dividend delivered in additional shares.</w:t>
            </w:r>
          </w:p>
        </w:tc>
        <w:tc>
          <w:tcPr>
            <w:tcW w:type="dxa" w:w="4248"/>
          </w:tcPr>
          <w:p>
            <w:pPr>
              <w:spacing w:after="80" w:before="60"/>
            </w:pPr>
            <w:r>
              <w:rPr>
                <w:sz w:val="19"/>
              </w:rPr>
              <w:t>Record an issuance and applicable price or ratio adjustments; it is not a cash payout.</w:t>
            </w:r>
          </w:p>
        </w:tc>
      </w:tr>
      <w:tr>
        <w:trPr>
          <w:cantSplit/>
        </w:trPr>
        <w:tc>
          <w:tcPr>
            <w:tcW w:type="dxa" w:w="2160"/>
          </w:tcPr>
          <w:p>
            <w:pPr>
              <w:spacing w:after="80" w:before="60"/>
            </w:pPr>
            <w:r>
              <w:rPr>
                <w:sz w:val="19"/>
              </w:rPr>
              <w:t>Dividend capitalization</w:t>
            </w:r>
          </w:p>
        </w:tc>
        <w:tc>
          <w:tcPr>
            <w:tcW w:type="dxa" w:w="3816"/>
          </w:tcPr>
          <w:p>
            <w:pPr>
              <w:spacing w:after="80" w:before="60"/>
            </w:pPr>
            <w:r>
              <w:rPr>
                <w:sz w:val="19"/>
              </w:rPr>
              <w:t>Moving an eligible dividend amount into a defined capital or claim base.</w:t>
            </w:r>
          </w:p>
        </w:tc>
        <w:tc>
          <w:tcPr>
            <w:tcW w:type="dxa" w:w="4248"/>
          </w:tcPr>
          <w:p>
            <w:pPr>
              <w:spacing w:after="80" w:before="60"/>
            </w:pPr>
            <w:r>
              <w:rPr>
                <w:sz w:val="19"/>
              </w:rPr>
              <w:t>Changes later entitlements only under an explicit rule and recorded event.</w:t>
            </w:r>
          </w:p>
        </w:tc>
      </w:tr>
      <w:tr>
        <w:trPr>
          <w:cantSplit/>
        </w:trPr>
        <w:tc>
          <w:tcPr>
            <w:tcW w:type="dxa" w:w="2160"/>
          </w:tcPr>
          <w:p>
            <w:pPr>
              <w:spacing w:after="80" w:before="60"/>
            </w:pPr>
            <w:r>
              <w:rPr>
                <w:sz w:val="19"/>
              </w:rPr>
              <w:t>Redemption right</w:t>
            </w:r>
          </w:p>
        </w:tc>
        <w:tc>
          <w:tcPr>
            <w:tcW w:type="dxa" w:w="3816"/>
          </w:tcPr>
          <w:p>
            <w:pPr>
              <w:spacing w:after="80" w:before="60"/>
            </w:pPr>
            <w:r>
              <w:rPr>
                <w:sz w:val="19"/>
              </w:rPr>
              <w:t>A right to require or permit the issuer to buy back securities under specified conditions.</w:t>
            </w:r>
          </w:p>
        </w:tc>
        <w:tc>
          <w:tcPr>
            <w:tcW w:type="dxa" w:w="4248"/>
          </w:tcPr>
          <w:p>
            <w:pPr>
              <w:spacing w:after="80" w:before="60"/>
            </w:pPr>
            <w:r>
              <w:rPr>
                <w:sz w:val="19"/>
              </w:rPr>
              <w:t>Needs trigger, election, price and payment inputs; a right alone is not a completed redemption.</w:t>
            </w:r>
          </w:p>
        </w:tc>
      </w:tr>
      <w:tr>
        <w:trPr>
          <w:cantSplit/>
        </w:trPr>
        <w:tc>
          <w:tcPr>
            <w:tcW w:type="dxa" w:w="2160"/>
          </w:tcPr>
          <w:p>
            <w:pPr>
              <w:spacing w:after="80" w:before="60"/>
            </w:pPr>
            <w:r>
              <w:rPr>
                <w:sz w:val="19"/>
              </w:rPr>
              <w:t>Redemption price</w:t>
            </w:r>
          </w:p>
        </w:tc>
        <w:tc>
          <w:tcPr>
            <w:tcW w:type="dxa" w:w="3816"/>
          </w:tcPr>
          <w:p>
            <w:pPr>
              <w:spacing w:after="80" w:before="60"/>
            </w:pPr>
            <w:r>
              <w:rPr>
                <w:sz w:val="19"/>
              </w:rPr>
              <w:t>The contract-defined amount payable for redeemed securities.</w:t>
            </w:r>
          </w:p>
        </w:tc>
        <w:tc>
          <w:tcPr>
            <w:tcW w:type="dxa" w:w="4248"/>
          </w:tcPr>
          <w:p>
            <w:pPr>
              <w:spacing w:after="80" w:before="60"/>
            </w:pPr>
            <w:r>
              <w:rPr>
                <w:sz w:val="19"/>
              </w:rPr>
              <w:t>May include base value, premium or accrued return; calculate under the confirmed formula.</w:t>
            </w:r>
          </w:p>
        </w:tc>
      </w:tr>
      <w:tr>
        <w:trPr>
          <w:cantSplit/>
        </w:trPr>
        <w:tc>
          <w:tcPr>
            <w:tcW w:type="dxa" w:w="2160"/>
          </w:tcPr>
          <w:p>
            <w:pPr>
              <w:spacing w:after="80" w:before="60"/>
            </w:pPr>
            <w:r>
              <w:rPr>
                <w:sz w:val="19"/>
              </w:rPr>
              <w:t>Redemption schedule</w:t>
            </w:r>
          </w:p>
        </w:tc>
        <w:tc>
          <w:tcPr>
            <w:tcW w:type="dxa" w:w="3816"/>
          </w:tcPr>
          <w:p>
            <w:pPr>
              <w:spacing w:after="80" w:before="60"/>
            </w:pPr>
            <w:r>
              <w:rPr>
                <w:sz w:val="19"/>
              </w:rPr>
              <w:t>The timing or installments for a permitted redemption.</w:t>
            </w:r>
          </w:p>
        </w:tc>
        <w:tc>
          <w:tcPr>
            <w:tcW w:type="dxa" w:w="4248"/>
          </w:tcPr>
          <w:p>
            <w:pPr>
              <w:spacing w:after="80" w:before="60"/>
            </w:pPr>
            <w:r>
              <w:rPr>
                <w:sz w:val="19"/>
              </w:rPr>
              <w:t>Track due claims and actual payments; do not remove all shares from a proposed schedule alone.</w:t>
            </w:r>
          </w:p>
        </w:tc>
      </w:tr>
      <w:tr>
        <w:trPr>
          <w:cantSplit/>
        </w:trPr>
        <w:tc>
          <w:tcPr>
            <w:tcW w:type="dxa" w:w="2160"/>
          </w:tcPr>
          <w:p>
            <w:pPr>
              <w:spacing w:after="80" w:before="60"/>
            </w:pPr>
            <w:r>
              <w:rPr>
                <w:sz w:val="19"/>
              </w:rPr>
              <w:t>Repurchase</w:t>
            </w:r>
          </w:p>
        </w:tc>
        <w:tc>
          <w:tcPr>
            <w:tcW w:type="dxa" w:w="3816"/>
          </w:tcPr>
          <w:p>
            <w:pPr>
              <w:spacing w:after="80" w:before="60"/>
            </w:pPr>
            <w:r>
              <w:rPr>
                <w:sz w:val="19"/>
              </w:rPr>
              <w:t>An actual acquisition of securities by the issuer under approved terms.</w:t>
            </w:r>
          </w:p>
        </w:tc>
        <w:tc>
          <w:tcPr>
            <w:tcW w:type="dxa" w:w="4248"/>
          </w:tcPr>
          <w:p>
            <w:pPr>
              <w:spacing w:after="80" w:before="60"/>
            </w:pPr>
            <w:r>
              <w:rPr>
                <w:sz w:val="19"/>
              </w:rPr>
              <w:t>Reduces holder position; treasury versus retirement treatment determines issuer balance changes.</w:t>
            </w:r>
          </w:p>
        </w:tc>
      </w:tr>
      <w:tr>
        <w:trPr>
          <w:cantSplit/>
        </w:trPr>
        <w:tc>
          <w:tcPr>
            <w:tcW w:type="dxa" w:w="2160"/>
          </w:tcPr>
          <w:p>
            <w:pPr>
              <w:spacing w:after="80" w:before="60"/>
            </w:pPr>
            <w:r>
              <w:rPr>
                <w:sz w:val="19"/>
              </w:rPr>
              <w:t>Sinking fund or mandatory redemption provision</w:t>
            </w:r>
          </w:p>
        </w:tc>
        <w:tc>
          <w:tcPr>
            <w:tcW w:type="dxa" w:w="3816"/>
          </w:tcPr>
          <w:p>
            <w:pPr>
              <w:spacing w:after="80" w:before="60"/>
            </w:pPr>
            <w:r>
              <w:rPr>
                <w:sz w:val="19"/>
              </w:rPr>
              <w:t>A contractual mechanism funding or requiring specified future redemptions.</w:t>
            </w:r>
          </w:p>
        </w:tc>
        <w:tc>
          <w:tcPr>
            <w:tcW w:type="dxa" w:w="4248"/>
          </w:tcPr>
          <w:p>
            <w:pPr>
              <w:spacing w:after="80" w:before="60"/>
            </w:pPr>
            <w:r>
              <w:rPr>
                <w:sz w:val="19"/>
              </w:rPr>
              <w:t>Represent obligations and conditions; legal ability to pay requires separate confirmed inputs.</w:t>
            </w:r>
          </w:p>
        </w:tc>
      </w:tr>
    </w:tbl>
    <w:p>
      <w:pPr>
        <w:spacing w:after="0"/>
      </w:pPr>
    </w:p>
    <w:p>
      <w:r>
        <w:br w:type="page"/>
      </w:r>
    </w:p>
    <w:p>
      <w:pPr>
        <w:pStyle w:val="Heading1"/>
      </w:pPr>
      <w:r>
        <w:t>T15 Waterfall inputs proceeds and outputs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Waterfall</w:t>
            </w:r>
          </w:p>
        </w:tc>
        <w:tc>
          <w:tcPr>
            <w:tcW w:type="dxa" w:w="3816"/>
          </w:tcPr>
          <w:p>
            <w:pPr>
              <w:spacing w:after="80" w:before="60"/>
            </w:pPr>
            <w:r>
              <w:rPr>
                <w:sz w:val="19"/>
              </w:rPr>
              <w:t>The ordered allocation of proceeds among claims and holders under their rights.</w:t>
            </w:r>
          </w:p>
        </w:tc>
        <w:tc>
          <w:tcPr>
            <w:tcW w:type="dxa" w:w="4248"/>
          </w:tcPr>
          <w:p>
            <w:pPr>
              <w:spacing w:after="80" w:before="60"/>
            </w:pPr>
            <w:r>
              <w:rPr>
                <w:sz w:val="19"/>
              </w:rPr>
              <w:t>Requires complete inputs, priority rules, participation mechanics and permitted elections.</w:t>
            </w:r>
          </w:p>
        </w:tc>
      </w:tr>
      <w:tr>
        <w:trPr>
          <w:cantSplit/>
        </w:trPr>
        <w:tc>
          <w:tcPr>
            <w:tcW w:type="dxa" w:w="2160"/>
          </w:tcPr>
          <w:p>
            <w:pPr>
              <w:spacing w:after="80" w:before="60"/>
            </w:pPr>
            <w:r>
              <w:rPr>
                <w:sz w:val="19"/>
              </w:rPr>
              <w:t>Exit or liquidity event</w:t>
            </w:r>
          </w:p>
        </w:tc>
        <w:tc>
          <w:tcPr>
            <w:tcW w:type="dxa" w:w="3816"/>
          </w:tcPr>
          <w:p>
            <w:pPr>
              <w:spacing w:after="80" w:before="60"/>
            </w:pPr>
            <w:r>
              <w:rPr>
                <w:sz w:val="19"/>
              </w:rPr>
              <w:t>A transaction that may provide value to investors, such as a qualifying sale.</w:t>
            </w:r>
          </w:p>
        </w:tc>
        <w:tc>
          <w:tcPr>
            <w:tcW w:type="dxa" w:w="4248"/>
          </w:tcPr>
          <w:p>
            <w:pPr>
              <w:spacing w:after="80" w:before="60"/>
            </w:pPr>
            <w:r>
              <w:rPr>
                <w:sz w:val="19"/>
              </w:rPr>
              <w:t>Select the event-specific rights; sale, IPO and dissolution can have different treatment.</w:t>
            </w:r>
          </w:p>
        </w:tc>
      </w:tr>
      <w:tr>
        <w:trPr>
          <w:cantSplit/>
        </w:trPr>
        <w:tc>
          <w:tcPr>
            <w:tcW w:type="dxa" w:w="2160"/>
          </w:tcPr>
          <w:p>
            <w:pPr>
              <w:spacing w:after="80" w:before="60"/>
            </w:pPr>
            <w:r>
              <w:rPr>
                <w:sz w:val="19"/>
              </w:rPr>
              <w:t>Enterprise value</w:t>
            </w:r>
          </w:p>
        </w:tc>
        <w:tc>
          <w:tcPr>
            <w:tcW w:type="dxa" w:w="3816"/>
          </w:tcPr>
          <w:p>
            <w:pPr>
              <w:spacing w:after="80" w:before="60"/>
            </w:pPr>
            <w:r>
              <w:rPr>
                <w:sz w:val="19"/>
              </w:rPr>
              <w:t>The transaction value of the business on the stated basis, before the relevant equity-value adjustments.</w:t>
            </w:r>
          </w:p>
        </w:tc>
        <w:tc>
          <w:tcPr>
            <w:tcW w:type="dxa" w:w="4248"/>
          </w:tcPr>
          <w:p>
            <w:pPr>
              <w:spacing w:after="80" w:before="60"/>
            </w:pPr>
            <w:r>
              <w:rPr>
                <w:sz w:val="19"/>
              </w:rPr>
              <w:t>Needs an explicit bridge for cash, debt and other agreed adjustments before shareholder allocation.</w:t>
            </w:r>
          </w:p>
        </w:tc>
      </w:tr>
      <w:tr>
        <w:trPr>
          <w:cantSplit/>
        </w:trPr>
        <w:tc>
          <w:tcPr>
            <w:tcW w:type="dxa" w:w="2160"/>
          </w:tcPr>
          <w:p>
            <w:pPr>
              <w:spacing w:after="80" w:before="60"/>
            </w:pPr>
            <w:r>
              <w:rPr>
                <w:sz w:val="19"/>
              </w:rPr>
              <w:t>Equity proceeds or distributable proceeds</w:t>
            </w:r>
          </w:p>
        </w:tc>
        <w:tc>
          <w:tcPr>
            <w:tcW w:type="dxa" w:w="3816"/>
          </w:tcPr>
          <w:p>
            <w:pPr>
              <w:spacing w:after="80" w:before="60"/>
            </w:pPr>
            <w:r>
              <w:rPr>
                <w:sz w:val="19"/>
              </w:rPr>
              <w:t>The value actually available to the defined equity claimants after relevant adjustments.</w:t>
            </w:r>
          </w:p>
        </w:tc>
        <w:tc>
          <w:tcPr>
            <w:tcW w:type="dxa" w:w="4248"/>
          </w:tcPr>
          <w:p>
            <w:pPr>
              <w:spacing w:after="80" w:before="60"/>
            </w:pPr>
            <w:r>
              <w:rPr>
                <w:sz w:val="19"/>
              </w:rPr>
              <w:t>Input to the shareholder waterfall; do not subtract already-netted debt or costs again.</w:t>
            </w:r>
          </w:p>
        </w:tc>
      </w:tr>
      <w:tr>
        <w:trPr>
          <w:cantSplit/>
        </w:trPr>
        <w:tc>
          <w:tcPr>
            <w:tcW w:type="dxa" w:w="2160"/>
          </w:tcPr>
          <w:p>
            <w:pPr>
              <w:spacing w:after="80" w:before="60"/>
            </w:pPr>
            <w:r>
              <w:rPr>
                <w:sz w:val="19"/>
              </w:rPr>
              <w:t>Debt payoff</w:t>
            </w:r>
          </w:p>
        </w:tc>
        <w:tc>
          <w:tcPr>
            <w:tcW w:type="dxa" w:w="3816"/>
          </w:tcPr>
          <w:p>
            <w:pPr>
              <w:spacing w:after="80" w:before="60"/>
            </w:pPr>
            <w:r>
              <w:rPr>
                <w:sz w:val="19"/>
              </w:rPr>
              <w:t>The amount required to settle included debt claims at the transaction cutoff.</w:t>
            </w:r>
          </w:p>
        </w:tc>
        <w:tc>
          <w:tcPr>
            <w:tcW w:type="dxa" w:w="4248"/>
          </w:tcPr>
          <w:p>
            <w:pPr>
              <w:spacing w:after="80" w:before="60"/>
            </w:pPr>
            <w:r>
              <w:rPr>
                <w:sz w:val="19"/>
              </w:rPr>
              <w:t>Reduces available equity proceeds where not already deducted; reconcile principal and interest.</w:t>
            </w:r>
          </w:p>
        </w:tc>
      </w:tr>
      <w:tr>
        <w:trPr>
          <w:cantSplit/>
        </w:trPr>
        <w:tc>
          <w:tcPr>
            <w:tcW w:type="dxa" w:w="2160"/>
          </w:tcPr>
          <w:p>
            <w:pPr>
              <w:spacing w:after="80" w:before="60"/>
            </w:pPr>
            <w:r>
              <w:rPr>
                <w:sz w:val="19"/>
              </w:rPr>
              <w:t>Escrow and holdback</w:t>
            </w:r>
          </w:p>
        </w:tc>
        <w:tc>
          <w:tcPr>
            <w:tcW w:type="dxa" w:w="3816"/>
          </w:tcPr>
          <w:p>
            <w:pPr>
              <w:spacing w:after="80" w:before="60"/>
            </w:pPr>
            <w:r>
              <w:rPr>
                <w:sz w:val="19"/>
              </w:rPr>
              <w:t>Proceeds retained pending conditions, indemnities or later release.</w:t>
            </w:r>
          </w:p>
        </w:tc>
        <w:tc>
          <w:tcPr>
            <w:tcW w:type="dxa" w:w="4248"/>
          </w:tcPr>
          <w:p>
            <w:pPr>
              <w:spacing w:after="80" w:before="60"/>
            </w:pPr>
            <w:r>
              <w:rPr>
                <w:sz w:val="19"/>
              </w:rPr>
              <w:t>Separate immediate cash from contingent or deferred distributions and preserve later allocation rules.</w:t>
            </w:r>
          </w:p>
        </w:tc>
      </w:tr>
      <w:tr>
        <w:trPr>
          <w:cantSplit/>
        </w:trPr>
        <w:tc>
          <w:tcPr>
            <w:tcW w:type="dxa" w:w="2160"/>
          </w:tcPr>
          <w:p>
            <w:pPr>
              <w:spacing w:after="80" w:before="60"/>
            </w:pPr>
            <w:r>
              <w:rPr>
                <w:sz w:val="19"/>
              </w:rPr>
              <w:t>Earn-out</w:t>
            </w:r>
          </w:p>
        </w:tc>
        <w:tc>
          <w:tcPr>
            <w:tcW w:type="dxa" w:w="3816"/>
          </w:tcPr>
          <w:p>
            <w:pPr>
              <w:spacing w:after="80" w:before="60"/>
            </w:pPr>
            <w:r>
              <w:rPr>
                <w:sz w:val="19"/>
              </w:rPr>
              <w:t>Additional transaction consideration contingent on future conditions.</w:t>
            </w:r>
          </w:p>
        </w:tc>
        <w:tc>
          <w:tcPr>
            <w:tcW w:type="dxa" w:w="4248"/>
          </w:tcPr>
          <w:p>
            <w:pPr>
              <w:spacing w:after="80" w:before="60"/>
            </w:pPr>
            <w:r>
              <w:rPr>
                <w:sz w:val="19"/>
              </w:rPr>
              <w:t>Model amounts, timing and eligibility separately; scenario assumptions are not recognized cash.</w:t>
            </w:r>
          </w:p>
        </w:tc>
      </w:tr>
      <w:tr>
        <w:trPr>
          <w:cantSplit/>
        </w:trPr>
        <w:tc>
          <w:tcPr>
            <w:tcW w:type="dxa" w:w="2160"/>
          </w:tcPr>
          <w:p>
            <w:pPr>
              <w:spacing w:after="80" w:before="60"/>
            </w:pPr>
            <w:r>
              <w:rPr>
                <w:sz w:val="19"/>
              </w:rPr>
              <w:t>Rollover equity and noncash proceeds</w:t>
            </w:r>
          </w:p>
        </w:tc>
        <w:tc>
          <w:tcPr>
            <w:tcW w:type="dxa" w:w="3816"/>
          </w:tcPr>
          <w:p>
            <w:pPr>
              <w:spacing w:after="80" w:before="60"/>
            </w:pPr>
            <w:r>
              <w:rPr>
                <w:sz w:val="19"/>
              </w:rPr>
              <w:t>Equity or other noncash value received or retained in a transaction.</w:t>
            </w:r>
          </w:p>
        </w:tc>
        <w:tc>
          <w:tcPr>
            <w:tcW w:type="dxa" w:w="4248"/>
          </w:tcPr>
          <w:p>
            <w:pPr>
              <w:spacing w:after="80" w:before="60"/>
            </w:pPr>
            <w:r>
              <w:rPr>
                <w:sz w:val="19"/>
              </w:rPr>
              <w:t>Needs explicit valuation, recipient eligibility and timing; do not label it immediate cash.</w:t>
            </w:r>
          </w:p>
        </w:tc>
      </w:tr>
      <w:tr>
        <w:trPr>
          <w:cantSplit/>
        </w:trPr>
        <w:tc>
          <w:tcPr>
            <w:tcW w:type="dxa" w:w="2160"/>
          </w:tcPr>
          <w:p>
            <w:pPr>
              <w:spacing w:after="80" w:before="60"/>
            </w:pPr>
            <w:r>
              <w:rPr>
                <w:sz w:val="19"/>
              </w:rPr>
              <w:t>Management carve-out</w:t>
            </w:r>
          </w:p>
        </w:tc>
        <w:tc>
          <w:tcPr>
            <w:tcW w:type="dxa" w:w="3816"/>
          </w:tcPr>
          <w:p>
            <w:pPr>
              <w:spacing w:after="80" w:before="60"/>
            </w:pPr>
            <w:r>
              <w:rPr>
                <w:sz w:val="19"/>
              </w:rPr>
              <w:t>A defined incentive allocation to management or other participants in a transaction.</w:t>
            </w:r>
          </w:p>
        </w:tc>
        <w:tc>
          <w:tcPr>
            <w:tcW w:type="dxa" w:w="4248"/>
          </w:tcPr>
          <w:p>
            <w:pPr>
              <w:spacing w:after="80" w:before="60"/>
            </w:pPr>
            <w:r>
              <w:rPr>
                <w:sz w:val="19"/>
              </w:rPr>
              <w:t>Place it in its contractual priority and base; do not subtract an arbitrary percentage.</w:t>
            </w:r>
          </w:p>
        </w:tc>
      </w:tr>
      <w:tr>
        <w:trPr>
          <w:cantSplit/>
        </w:trPr>
        <w:tc>
          <w:tcPr>
            <w:tcW w:type="dxa" w:w="2160"/>
          </w:tcPr>
          <w:p>
            <w:pPr>
              <w:spacing w:after="80" w:before="60"/>
            </w:pPr>
            <w:r>
              <w:rPr>
                <w:sz w:val="19"/>
              </w:rPr>
              <w:t>Residual proceeds</w:t>
            </w:r>
          </w:p>
        </w:tc>
        <w:tc>
          <w:tcPr>
            <w:tcW w:type="dxa" w:w="3816"/>
          </w:tcPr>
          <w:p>
            <w:pPr>
              <w:spacing w:after="80" w:before="60"/>
            </w:pPr>
            <w:r>
              <w:rPr>
                <w:sz w:val="19"/>
              </w:rPr>
              <w:t>Value remaining after prior applicable claims are satisfied.</w:t>
            </w:r>
          </w:p>
        </w:tc>
        <w:tc>
          <w:tcPr>
            <w:tcW w:type="dxa" w:w="4248"/>
          </w:tcPr>
          <w:p>
            <w:pPr>
              <w:spacing w:after="80" w:before="60"/>
            </w:pPr>
            <w:r>
              <w:rPr>
                <w:sz w:val="19"/>
              </w:rPr>
              <w:t>Allocate only among eligible residual participants under their weights and caps.</w:t>
            </w:r>
          </w:p>
        </w:tc>
      </w:tr>
      <w:tr>
        <w:trPr>
          <w:cantSplit/>
        </w:trPr>
        <w:tc>
          <w:tcPr>
            <w:tcW w:type="dxa" w:w="2160"/>
          </w:tcPr>
          <w:p>
            <w:pPr>
              <w:spacing w:after="80" w:before="60"/>
            </w:pPr>
            <w:r>
              <w:rPr>
                <w:sz w:val="19"/>
              </w:rPr>
              <w:t>Break-even conversion point</w:t>
            </w:r>
          </w:p>
        </w:tc>
        <w:tc>
          <w:tcPr>
            <w:tcW w:type="dxa" w:w="3816"/>
          </w:tcPr>
          <w:p>
            <w:pPr>
              <w:spacing w:after="80" w:before="60"/>
            </w:pPr>
            <w:r>
              <w:rPr>
                <w:sz w:val="19"/>
              </w:rPr>
              <w:t>A value at which two permitted conversion/payout treatments produce the same result.</w:t>
            </w:r>
          </w:p>
        </w:tc>
        <w:tc>
          <w:tcPr>
            <w:tcW w:type="dxa" w:w="4248"/>
          </w:tcPr>
          <w:p>
            <w:pPr>
              <w:spacing w:after="80" w:before="60"/>
            </w:pPr>
            <w:r>
              <w:rPr>
                <w:sz w:val="19"/>
              </w:rPr>
              <w:t>Can be simple for one uniform class; multiple interacting classes need the full solver.</w:t>
            </w:r>
          </w:p>
        </w:tc>
      </w:tr>
      <w:tr>
        <w:trPr>
          <w:cantSplit/>
        </w:trPr>
        <w:tc>
          <w:tcPr>
            <w:tcW w:type="dxa" w:w="2160"/>
          </w:tcPr>
          <w:p>
            <w:pPr>
              <w:spacing w:after="80" w:before="60"/>
            </w:pPr>
            <w:r>
              <w:rPr>
                <w:sz w:val="19"/>
              </w:rPr>
              <w:t>Gross versus net holder payout</w:t>
            </w:r>
          </w:p>
        </w:tc>
        <w:tc>
          <w:tcPr>
            <w:tcW w:type="dxa" w:w="3816"/>
          </w:tcPr>
          <w:p>
            <w:pPr>
              <w:spacing w:after="80" w:before="60"/>
            </w:pPr>
            <w:r>
              <w:rPr>
                <w:sz w:val="19"/>
              </w:rPr>
              <w:t>A entitlement of a holder before, versus after, specified exercise costs, withholding or retained amounts.</w:t>
            </w:r>
          </w:p>
        </w:tc>
        <w:tc>
          <w:tcPr>
            <w:tcW w:type="dxa" w:w="4248"/>
          </w:tcPr>
          <w:p>
            <w:pPr>
              <w:spacing w:after="80" w:before="60"/>
            </w:pPr>
            <w:r>
              <w:rPr>
                <w:sz w:val="19"/>
              </w:rPr>
              <w:t>Show a reconciliation; never confuse headline entitlement with cash received now.</w:t>
            </w:r>
          </w:p>
        </w:tc>
      </w:tr>
    </w:tbl>
    <w:p>
      <w:pPr>
        <w:spacing w:after="0"/>
      </w:pPr>
    </w:p>
    <w:p>
      <w:r>
        <w:br w:type="page"/>
      </w:r>
    </w:p>
    <w:p>
      <w:pPr>
        <w:pStyle w:val="Heading1"/>
      </w:pPr>
      <w:r>
        <w:t>T16 Financing participation and downside protection</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Pro rata right</w:t>
            </w:r>
          </w:p>
        </w:tc>
        <w:tc>
          <w:tcPr>
            <w:tcW w:type="dxa" w:w="3816"/>
          </w:tcPr>
          <w:p>
            <w:pPr>
              <w:spacing w:after="80" w:before="60"/>
            </w:pPr>
            <w:r>
              <w:rPr>
                <w:sz w:val="19"/>
              </w:rPr>
              <w:t>A contractual right to invest on specified terms to participate in a financing.</w:t>
            </w:r>
          </w:p>
        </w:tc>
        <w:tc>
          <w:tcPr>
            <w:tcW w:type="dxa" w:w="4248"/>
          </w:tcPr>
          <w:p>
            <w:pPr>
              <w:spacing w:after="80" w:before="60"/>
            </w:pPr>
            <w:r>
              <w:rPr>
                <w:sz w:val="19"/>
              </w:rPr>
              <w:t>Needs eligibility, ownership basis, offering size, caps and an actual or assumed election.</w:t>
            </w:r>
          </w:p>
        </w:tc>
      </w:tr>
      <w:tr>
        <w:trPr>
          <w:cantSplit/>
        </w:trPr>
        <w:tc>
          <w:tcPr>
            <w:tcW w:type="dxa" w:w="2160"/>
          </w:tcPr>
          <w:p>
            <w:pPr>
              <w:spacing w:after="80" w:before="60"/>
            </w:pPr>
            <w:r>
              <w:rPr>
                <w:sz w:val="19"/>
              </w:rPr>
              <w:t>Super pro rata right</w:t>
            </w:r>
          </w:p>
        </w:tc>
        <w:tc>
          <w:tcPr>
            <w:tcW w:type="dxa" w:w="3816"/>
          </w:tcPr>
          <w:p>
            <w:pPr>
              <w:spacing w:after="80" w:before="60"/>
            </w:pPr>
            <w:r>
              <w:rPr>
                <w:sz w:val="19"/>
              </w:rPr>
              <w:t>A right to invest more than the ordinary pro rata allocation of a holder under specified limits.</w:t>
            </w:r>
          </w:p>
        </w:tc>
        <w:tc>
          <w:tcPr>
            <w:tcW w:type="dxa" w:w="4248"/>
          </w:tcPr>
          <w:p>
            <w:pPr>
              <w:spacing w:after="80" w:before="60"/>
            </w:pPr>
            <w:r>
              <w:rPr>
                <w:sz w:val="19"/>
              </w:rPr>
              <w:t>Changes allocation and financing dilution; do not treat it as unlimited investment capacity.</w:t>
            </w:r>
          </w:p>
        </w:tc>
      </w:tr>
      <w:tr>
        <w:trPr>
          <w:cantSplit/>
        </w:trPr>
        <w:tc>
          <w:tcPr>
            <w:tcW w:type="dxa" w:w="2160"/>
          </w:tcPr>
          <w:p>
            <w:pPr>
              <w:spacing w:after="80" w:before="60"/>
            </w:pPr>
            <w:r>
              <w:rPr>
                <w:sz w:val="19"/>
              </w:rPr>
              <w:t>Preemptive right</w:t>
            </w:r>
          </w:p>
        </w:tc>
        <w:tc>
          <w:tcPr>
            <w:tcW w:type="dxa" w:w="3816"/>
          </w:tcPr>
          <w:p>
            <w:pPr>
              <w:spacing w:after="80" w:before="60"/>
            </w:pPr>
            <w:r>
              <w:rPr>
                <w:sz w:val="19"/>
              </w:rPr>
              <w:t>A right to purchase specified new securities before or alongside others.</w:t>
            </w:r>
          </w:p>
        </w:tc>
        <w:tc>
          <w:tcPr>
            <w:tcW w:type="dxa" w:w="4248"/>
          </w:tcPr>
          <w:p>
            <w:pPr>
              <w:spacing w:after="80" w:before="60"/>
            </w:pPr>
            <w:r>
              <w:rPr>
                <w:sz w:val="19"/>
              </w:rPr>
              <w:t>May impose offering procedures and allocation rules; exercise is a separate fact.</w:t>
            </w:r>
          </w:p>
        </w:tc>
      </w:tr>
      <w:tr>
        <w:trPr>
          <w:cantSplit/>
        </w:trPr>
        <w:tc>
          <w:tcPr>
            <w:tcW w:type="dxa" w:w="2160"/>
          </w:tcPr>
          <w:p>
            <w:pPr>
              <w:spacing w:after="80" w:before="60"/>
            </w:pPr>
            <w:r>
              <w:rPr>
                <w:sz w:val="19"/>
              </w:rPr>
              <w:t>Major investor threshold</w:t>
            </w:r>
          </w:p>
        </w:tc>
        <w:tc>
          <w:tcPr>
            <w:tcW w:type="dxa" w:w="3816"/>
          </w:tcPr>
          <w:p>
            <w:pPr>
              <w:spacing w:after="80" w:before="60"/>
            </w:pPr>
            <w:r>
              <w:rPr>
                <w:sz w:val="19"/>
              </w:rPr>
              <w:t>A defined minimum holding or other test for specified rights.</w:t>
            </w:r>
          </w:p>
        </w:tc>
        <w:tc>
          <w:tcPr>
            <w:tcW w:type="dxa" w:w="4248"/>
          </w:tcPr>
          <w:p>
            <w:pPr>
              <w:spacing w:after="80" w:before="60"/>
            </w:pPr>
            <w:r>
              <w:rPr>
                <w:sz w:val="19"/>
              </w:rPr>
              <w:t>Recalculate under the actual holding basis, grouping rules and time cutoff.</w:t>
            </w:r>
          </w:p>
        </w:tc>
      </w:tr>
      <w:tr>
        <w:trPr>
          <w:cantSplit/>
        </w:trPr>
        <w:tc>
          <w:tcPr>
            <w:tcW w:type="dxa" w:w="2160"/>
          </w:tcPr>
          <w:p>
            <w:pPr>
              <w:spacing w:after="80" w:before="60"/>
            </w:pPr>
            <w:r>
              <w:rPr>
                <w:sz w:val="19"/>
              </w:rPr>
              <w:t>Anti-dilution protection</w:t>
            </w:r>
          </w:p>
        </w:tc>
        <w:tc>
          <w:tcPr>
            <w:tcW w:type="dxa" w:w="3816"/>
          </w:tcPr>
          <w:p>
            <w:pPr>
              <w:spacing w:after="80" w:before="60"/>
            </w:pPr>
            <w:r>
              <w:rPr>
                <w:sz w:val="19"/>
              </w:rPr>
              <w:t>A contractual adjustment to specified equity conversion or other terms after defined issuances.</w:t>
            </w:r>
          </w:p>
        </w:tc>
        <w:tc>
          <w:tcPr>
            <w:tcW w:type="dxa" w:w="4248"/>
          </w:tcPr>
          <w:p>
            <w:pPr>
              <w:spacing w:after="80" w:before="60"/>
            </w:pPr>
            <w:r>
              <w:rPr>
                <w:sz w:val="19"/>
              </w:rPr>
              <w:t>It does not prevent every ownership reduction; determine the exact mechanism and exceptions.</w:t>
            </w:r>
          </w:p>
        </w:tc>
      </w:tr>
      <w:tr>
        <w:trPr>
          <w:cantSplit/>
        </w:trPr>
        <w:tc>
          <w:tcPr>
            <w:tcW w:type="dxa" w:w="2160"/>
          </w:tcPr>
          <w:p>
            <w:pPr>
              <w:spacing w:after="80" w:before="60"/>
            </w:pPr>
            <w:r>
              <w:rPr>
                <w:sz w:val="19"/>
              </w:rPr>
              <w:t>Full ratchet</w:t>
            </w:r>
          </w:p>
        </w:tc>
        <w:tc>
          <w:tcPr>
            <w:tcW w:type="dxa" w:w="3816"/>
          </w:tcPr>
          <w:p>
            <w:pPr>
              <w:spacing w:after="80" w:before="60"/>
            </w:pPr>
            <w:r>
              <w:rPr>
                <w:sz w:val="19"/>
              </w:rPr>
              <w:t>An adjustment mechanism resetting a specified conversion price under defined lower-price issuance rules.</w:t>
            </w:r>
          </w:p>
        </w:tc>
        <w:tc>
          <w:tcPr>
            <w:tcW w:type="dxa" w:w="4248"/>
          </w:tcPr>
          <w:p>
            <w:pPr>
              <w:spacing w:after="80" w:before="60"/>
            </w:pPr>
            <w:r>
              <w:rPr>
                <w:sz w:val="19"/>
              </w:rPr>
              <w:t>Uses the eligible lower price and contractual exceptions, floors and waivers.</w:t>
            </w:r>
          </w:p>
        </w:tc>
      </w:tr>
      <w:tr>
        <w:trPr>
          <w:cantSplit/>
        </w:trPr>
        <w:tc>
          <w:tcPr>
            <w:tcW w:type="dxa" w:w="2160"/>
          </w:tcPr>
          <w:p>
            <w:pPr>
              <w:spacing w:after="80" w:before="60"/>
            </w:pPr>
            <w:r>
              <w:rPr>
                <w:sz w:val="19"/>
              </w:rPr>
              <w:t>Weighted-average anti-dilution</w:t>
            </w:r>
          </w:p>
        </w:tc>
        <w:tc>
          <w:tcPr>
            <w:tcW w:type="dxa" w:w="3816"/>
          </w:tcPr>
          <w:p>
            <w:pPr>
              <w:spacing w:after="80" w:before="60"/>
            </w:pPr>
            <w:r>
              <w:rPr>
                <w:sz w:val="19"/>
              </w:rPr>
              <w:t>A mechanism adjusting conversion price using defined outstanding capital, consideration and deemed new shares.</w:t>
            </w:r>
          </w:p>
        </w:tc>
        <w:tc>
          <w:tcPr>
            <w:tcW w:type="dxa" w:w="4248"/>
          </w:tcPr>
          <w:p>
            <w:pPr>
              <w:spacing w:after="80" w:before="60"/>
            </w:pPr>
            <w:r>
              <w:rPr>
                <w:sz w:val="19"/>
              </w:rPr>
              <w:t>Use the exact formula and inclusion sets; broad and narrow are not sufficient inputs alone.</w:t>
            </w:r>
          </w:p>
        </w:tc>
      </w:tr>
      <w:tr>
        <w:trPr>
          <w:cantSplit/>
        </w:trPr>
        <w:tc>
          <w:tcPr>
            <w:tcW w:type="dxa" w:w="2160"/>
          </w:tcPr>
          <w:p>
            <w:pPr>
              <w:spacing w:after="80" w:before="60"/>
            </w:pPr>
            <w:r>
              <w:rPr>
                <w:sz w:val="19"/>
              </w:rPr>
              <w:t>Broad-based versus narrow-based</w:t>
            </w:r>
          </w:p>
        </w:tc>
        <w:tc>
          <w:tcPr>
            <w:tcW w:type="dxa" w:w="3816"/>
          </w:tcPr>
          <w:p>
            <w:pPr>
              <w:spacing w:after="80" w:before="60"/>
            </w:pPr>
            <w:r>
              <w:rPr>
                <w:sz w:val="19"/>
              </w:rPr>
              <w:t>Labels for differing capitalization inclusions in an adjustment formula.</w:t>
            </w:r>
          </w:p>
        </w:tc>
        <w:tc>
          <w:tcPr>
            <w:tcW w:type="dxa" w:w="4248"/>
          </w:tcPr>
          <w:p>
            <w:pPr>
              <w:spacing w:after="80" w:before="60"/>
            </w:pPr>
            <w:r>
              <w:rPr>
                <w:sz w:val="19"/>
              </w:rPr>
              <w:t>Explicitly list included shares and rights; the label does not identify a universal denominator.</w:t>
            </w:r>
          </w:p>
        </w:tc>
      </w:tr>
      <w:tr>
        <w:trPr>
          <w:cantSplit/>
        </w:trPr>
        <w:tc>
          <w:tcPr>
            <w:tcW w:type="dxa" w:w="2160"/>
          </w:tcPr>
          <w:p>
            <w:pPr>
              <w:spacing w:after="80" w:before="60"/>
            </w:pPr>
            <w:r>
              <w:rPr>
                <w:sz w:val="19"/>
              </w:rPr>
              <w:t>Deemed issuance</w:t>
            </w:r>
          </w:p>
        </w:tc>
        <w:tc>
          <w:tcPr>
            <w:tcW w:type="dxa" w:w="3816"/>
          </w:tcPr>
          <w:p>
            <w:pPr>
              <w:spacing w:after="80" w:before="60"/>
            </w:pPr>
            <w:r>
              <w:rPr>
                <w:sz w:val="19"/>
              </w:rPr>
              <w:t>An issuance treated as occurring for an adjustment rule even if underlying shares are not yet issued.</w:t>
            </w:r>
          </w:p>
        </w:tc>
        <w:tc>
          <w:tcPr>
            <w:tcW w:type="dxa" w:w="4248"/>
          </w:tcPr>
          <w:p>
            <w:pPr>
              <w:spacing w:after="80" w:before="60"/>
            </w:pPr>
            <w:r>
              <w:rPr>
                <w:sz w:val="19"/>
              </w:rPr>
              <w:t>Track later exercise/conversion so the same item does not trigger a duplicate adjustment.</w:t>
            </w:r>
          </w:p>
        </w:tc>
      </w:tr>
      <w:tr>
        <w:trPr>
          <w:cantSplit/>
        </w:trPr>
        <w:tc>
          <w:tcPr>
            <w:tcW w:type="dxa" w:w="2160"/>
          </w:tcPr>
          <w:p>
            <w:pPr>
              <w:spacing w:after="80" w:before="60"/>
            </w:pPr>
            <w:r>
              <w:rPr>
                <w:sz w:val="19"/>
              </w:rPr>
              <w:t>Excluded issuance</w:t>
            </w:r>
          </w:p>
        </w:tc>
        <w:tc>
          <w:tcPr>
            <w:tcW w:type="dxa" w:w="3816"/>
          </w:tcPr>
          <w:p>
            <w:pPr>
              <w:spacing w:after="80" w:before="60"/>
            </w:pPr>
            <w:r>
              <w:rPr>
                <w:sz w:val="19"/>
              </w:rPr>
              <w:t>An issuance exempted from a specified adjustment or participation rule.</w:t>
            </w:r>
          </w:p>
        </w:tc>
        <w:tc>
          <w:tcPr>
            <w:tcW w:type="dxa" w:w="4248"/>
          </w:tcPr>
          <w:p>
            <w:pPr>
              <w:spacing w:after="80" w:before="60"/>
            </w:pPr>
            <w:r>
              <w:rPr>
                <w:sz w:val="19"/>
              </w:rPr>
              <w:t>An excluded event must not change the protected conversion price under that rule.</w:t>
            </w:r>
          </w:p>
        </w:tc>
      </w:tr>
      <w:tr>
        <w:trPr>
          <w:cantSplit/>
        </w:trPr>
        <w:tc>
          <w:tcPr>
            <w:tcW w:type="dxa" w:w="2160"/>
          </w:tcPr>
          <w:p>
            <w:pPr>
              <w:spacing w:after="80" w:before="60"/>
            </w:pPr>
            <w:r>
              <w:rPr>
                <w:sz w:val="19"/>
              </w:rPr>
              <w:t>Pay to play</w:t>
            </w:r>
          </w:p>
        </w:tc>
        <w:tc>
          <w:tcPr>
            <w:tcW w:type="dxa" w:w="3816"/>
          </w:tcPr>
          <w:p>
            <w:pPr>
              <w:spacing w:after="80" w:before="60"/>
            </w:pPr>
            <w:r>
              <w:rPr>
                <w:sz w:val="19"/>
              </w:rPr>
              <w:t>Terms conditioning rights on participating in a financing or meeting another defined obligation.</w:t>
            </w:r>
          </w:p>
        </w:tc>
        <w:tc>
          <w:tcPr>
            <w:tcW w:type="dxa" w:w="4248"/>
          </w:tcPr>
          <w:p>
            <w:pPr>
              <w:spacing w:after="80" w:before="60"/>
            </w:pPr>
            <w:r>
              <w:rPr>
                <w:sz w:val="19"/>
              </w:rPr>
              <w:t>Can change class or protection eligibility; requires exact participation and transformation rules.</w:t>
            </w:r>
          </w:p>
        </w:tc>
      </w:tr>
      <w:tr>
        <w:trPr>
          <w:cantSplit/>
        </w:trPr>
        <w:tc>
          <w:tcPr>
            <w:tcW w:type="dxa" w:w="2160"/>
          </w:tcPr>
          <w:p>
            <w:pPr>
              <w:spacing w:after="80" w:before="60"/>
            </w:pPr>
            <w:r>
              <w:rPr>
                <w:sz w:val="19"/>
              </w:rPr>
              <w:t>Ratchet or reset provision</w:t>
            </w:r>
          </w:p>
        </w:tc>
        <w:tc>
          <w:tcPr>
            <w:tcW w:type="dxa" w:w="3816"/>
          </w:tcPr>
          <w:p>
            <w:pPr>
              <w:spacing w:after="80" w:before="60"/>
            </w:pPr>
            <w:r>
              <w:rPr>
                <w:sz w:val="19"/>
              </w:rPr>
              <w:t>A contractual price, quantity or rights adjustment upon a defined event or metric.</w:t>
            </w:r>
          </w:p>
        </w:tc>
        <w:tc>
          <w:tcPr>
            <w:tcW w:type="dxa" w:w="4248"/>
          </w:tcPr>
          <w:p>
            <w:pPr>
              <w:spacing w:after="80" w:before="60"/>
            </w:pPr>
            <w:r>
              <w:rPr>
                <w:sz w:val="19"/>
              </w:rPr>
              <w:t>Requires its own reviewed mechanism; do not assume every ratchet is full-ratchet anti-dilution.</w:t>
            </w:r>
          </w:p>
        </w:tc>
      </w:tr>
    </w:tbl>
    <w:p>
      <w:pPr>
        <w:spacing w:after="0"/>
      </w:pPr>
    </w:p>
    <w:p>
      <w:r>
        <w:br w:type="page"/>
      </w:r>
    </w:p>
    <w:p>
      <w:pPr>
        <w:pStyle w:val="Heading1"/>
      </w:pPr>
      <w:r>
        <w:t>T17 Voting control and required approvals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Economic ownership versus voting power</w:t>
            </w:r>
          </w:p>
        </w:tc>
        <w:tc>
          <w:tcPr>
            <w:tcW w:type="dxa" w:w="3816"/>
          </w:tcPr>
          <w:p>
            <w:pPr>
              <w:spacing w:after="80" w:before="60"/>
            </w:pPr>
            <w:r>
              <w:rPr>
                <w:sz w:val="19"/>
              </w:rPr>
              <w:t>Entitlement to economic value versus the ability to cast specified votes.</w:t>
            </w:r>
          </w:p>
        </w:tc>
        <w:tc>
          <w:tcPr>
            <w:tcW w:type="dxa" w:w="4248"/>
          </w:tcPr>
          <w:p>
            <w:pPr>
              <w:spacing w:after="80" w:before="60"/>
            </w:pPr>
            <w:r>
              <w:rPr>
                <w:sz w:val="19"/>
              </w:rPr>
              <w:t>Calculate separately; equal ownership percentages need not mean equal control.</w:t>
            </w:r>
          </w:p>
        </w:tc>
      </w:tr>
      <w:tr>
        <w:trPr>
          <w:cantSplit/>
        </w:trPr>
        <w:tc>
          <w:tcPr>
            <w:tcW w:type="dxa" w:w="2160"/>
          </w:tcPr>
          <w:p>
            <w:pPr>
              <w:spacing w:after="80" w:before="60"/>
            </w:pPr>
            <w:r>
              <w:rPr>
                <w:sz w:val="19"/>
              </w:rPr>
              <w:t>Vote multiplier</w:t>
            </w:r>
          </w:p>
        </w:tc>
        <w:tc>
          <w:tcPr>
            <w:tcW w:type="dxa" w:w="3816"/>
          </w:tcPr>
          <w:p>
            <w:pPr>
              <w:spacing w:after="80" w:before="60"/>
            </w:pPr>
            <w:r>
              <w:rPr>
                <w:sz w:val="19"/>
              </w:rPr>
              <w:t>The applicable number of votes per eligible share or equivalent.</w:t>
            </w:r>
          </w:p>
        </w:tc>
        <w:tc>
          <w:tcPr>
            <w:tcW w:type="dxa" w:w="4248"/>
          </w:tcPr>
          <w:p>
            <w:pPr>
              <w:spacing w:after="80" w:before="60"/>
            </w:pPr>
            <w:r>
              <w:rPr>
                <w:sz w:val="19"/>
              </w:rPr>
              <w:t>Voting service multiplies eligible quantity by the confirmed multiplier.</w:t>
            </w:r>
          </w:p>
        </w:tc>
      </w:tr>
      <w:tr>
        <w:trPr>
          <w:cantSplit/>
        </w:trPr>
        <w:tc>
          <w:tcPr>
            <w:tcW w:type="dxa" w:w="2160"/>
          </w:tcPr>
          <w:p>
            <w:pPr>
              <w:spacing w:after="80" w:before="60"/>
            </w:pPr>
            <w:r>
              <w:rPr>
                <w:sz w:val="19"/>
              </w:rPr>
              <w:t>Record date</w:t>
            </w:r>
          </w:p>
        </w:tc>
        <w:tc>
          <w:tcPr>
            <w:tcW w:type="dxa" w:w="3816"/>
          </w:tcPr>
          <w:p>
            <w:pPr>
              <w:spacing w:after="80" w:before="60"/>
            </w:pPr>
            <w:r>
              <w:rPr>
                <w:sz w:val="19"/>
              </w:rPr>
              <w:t>The date used to determine which holders have a particular entitlement, such as voting.</w:t>
            </w:r>
          </w:p>
        </w:tc>
        <w:tc>
          <w:tcPr>
            <w:tcW w:type="dxa" w:w="4248"/>
          </w:tcPr>
          <w:p>
            <w:pPr>
              <w:spacing w:after="80" w:before="60"/>
            </w:pPr>
            <w:r>
              <w:rPr>
                <w:sz w:val="19"/>
              </w:rPr>
              <w:t>Select holdings and rights at that cutoff, not necessarily current holdings.</w:t>
            </w:r>
          </w:p>
        </w:tc>
      </w:tr>
      <w:tr>
        <w:trPr>
          <w:cantSplit/>
        </w:trPr>
        <w:tc>
          <w:tcPr>
            <w:tcW w:type="dxa" w:w="2160"/>
          </w:tcPr>
          <w:p>
            <w:pPr>
              <w:spacing w:after="80" w:before="60"/>
            </w:pPr>
            <w:r>
              <w:rPr>
                <w:sz w:val="19"/>
              </w:rPr>
              <w:t>Electorate</w:t>
            </w:r>
          </w:p>
        </w:tc>
        <w:tc>
          <w:tcPr>
            <w:tcW w:type="dxa" w:w="3816"/>
          </w:tcPr>
          <w:p>
            <w:pPr>
              <w:spacing w:after="80" w:before="60"/>
            </w:pPr>
            <w:r>
              <w:rPr>
                <w:sz w:val="19"/>
              </w:rPr>
              <w:t>The holders or shares entitled to vote on a particular question.</w:t>
            </w:r>
          </w:p>
        </w:tc>
        <w:tc>
          <w:tcPr>
            <w:tcW w:type="dxa" w:w="4248"/>
          </w:tcPr>
          <w:p>
            <w:pPr>
              <w:spacing w:after="80" w:before="60"/>
            </w:pPr>
            <w:r>
              <w:rPr>
                <w:sz w:val="19"/>
              </w:rPr>
              <w:t>Defines the included vote base and may differ by class or action.</w:t>
            </w:r>
          </w:p>
        </w:tc>
      </w:tr>
      <w:tr>
        <w:trPr>
          <w:cantSplit/>
        </w:trPr>
        <w:tc>
          <w:tcPr>
            <w:tcW w:type="dxa" w:w="2160"/>
          </w:tcPr>
          <w:p>
            <w:pPr>
              <w:spacing w:after="80" w:before="60"/>
            </w:pPr>
            <w:r>
              <w:rPr>
                <w:sz w:val="19"/>
              </w:rPr>
              <w:t>Quorum</w:t>
            </w:r>
          </w:p>
        </w:tc>
        <w:tc>
          <w:tcPr>
            <w:tcW w:type="dxa" w:w="3816"/>
          </w:tcPr>
          <w:p>
            <w:pPr>
              <w:spacing w:after="80" w:before="60"/>
            </w:pPr>
            <w:r>
              <w:rPr>
                <w:sz w:val="19"/>
              </w:rPr>
              <w:t>The required participation for a meeting or vote to proceed under applicable rules.</w:t>
            </w:r>
          </w:p>
        </w:tc>
        <w:tc>
          <w:tcPr>
            <w:tcW w:type="dxa" w:w="4248"/>
          </w:tcPr>
          <w:p>
            <w:pPr>
              <w:spacing w:after="80" w:before="60"/>
            </w:pPr>
            <w:r>
              <w:rPr>
                <w:sz w:val="19"/>
              </w:rPr>
              <w:t>Separate quorum validation from whether a resolution passes.</w:t>
            </w:r>
          </w:p>
        </w:tc>
      </w:tr>
      <w:tr>
        <w:trPr>
          <w:cantSplit/>
        </w:trPr>
        <w:tc>
          <w:tcPr>
            <w:tcW w:type="dxa" w:w="2160"/>
          </w:tcPr>
          <w:p>
            <w:pPr>
              <w:spacing w:after="80" w:before="60"/>
            </w:pPr>
            <w:r>
              <w:rPr>
                <w:sz w:val="19"/>
              </w:rPr>
              <w:t>Voting threshold and supermajority</w:t>
            </w:r>
          </w:p>
        </w:tc>
        <w:tc>
          <w:tcPr>
            <w:tcW w:type="dxa" w:w="3816"/>
          </w:tcPr>
          <w:p>
            <w:pPr>
              <w:spacing w:after="80" w:before="60"/>
            </w:pPr>
            <w:r>
              <w:rPr>
                <w:sz w:val="19"/>
              </w:rPr>
              <w:t>The required approval level, possibly higher than an ordinary majority.</w:t>
            </w:r>
          </w:p>
        </w:tc>
        <w:tc>
          <w:tcPr>
            <w:tcW w:type="dxa" w:w="4248"/>
          </w:tcPr>
          <w:p>
            <w:pPr>
              <w:spacing w:after="80" w:before="60"/>
            </w:pPr>
            <w:r>
              <w:rPr>
                <w:sz w:val="19"/>
              </w:rPr>
              <w:t>Require the denominator and whether the comparison is strictly greater than or inclusive.</w:t>
            </w:r>
          </w:p>
        </w:tc>
      </w:tr>
      <w:tr>
        <w:trPr>
          <w:cantSplit/>
        </w:trPr>
        <w:tc>
          <w:tcPr>
            <w:tcW w:type="dxa" w:w="2160"/>
          </w:tcPr>
          <w:p>
            <w:pPr>
              <w:spacing w:after="80" w:before="60"/>
            </w:pPr>
            <w:r>
              <w:rPr>
                <w:sz w:val="19"/>
              </w:rPr>
              <w:t>Abstention</w:t>
            </w:r>
          </w:p>
        </w:tc>
        <w:tc>
          <w:tcPr>
            <w:tcW w:type="dxa" w:w="3816"/>
          </w:tcPr>
          <w:p>
            <w:pPr>
              <w:spacing w:after="80" w:before="60"/>
            </w:pPr>
            <w:r>
              <w:rPr>
                <w:sz w:val="19"/>
              </w:rPr>
              <w:t>A decision by a holder not to vote yes or no.</w:t>
            </w:r>
          </w:p>
        </w:tc>
        <w:tc>
          <w:tcPr>
            <w:tcW w:type="dxa" w:w="4248"/>
          </w:tcPr>
          <w:p>
            <w:pPr>
              <w:spacing w:after="80" w:before="60"/>
            </w:pPr>
            <w:r>
              <w:rPr>
                <w:sz w:val="19"/>
              </w:rPr>
              <w:t>Treatment in quorum and passing thresholds depends on the exact rules.</w:t>
            </w:r>
          </w:p>
        </w:tc>
      </w:tr>
      <w:tr>
        <w:trPr>
          <w:cantSplit/>
        </w:trPr>
        <w:tc>
          <w:tcPr>
            <w:tcW w:type="dxa" w:w="2160"/>
          </w:tcPr>
          <w:p>
            <w:pPr>
              <w:spacing w:after="80" w:before="60"/>
            </w:pPr>
            <w:r>
              <w:rPr>
                <w:sz w:val="19"/>
              </w:rPr>
              <w:t>Class vote and protective provision</w:t>
            </w:r>
          </w:p>
        </w:tc>
        <w:tc>
          <w:tcPr>
            <w:tcW w:type="dxa" w:w="3816"/>
          </w:tcPr>
          <w:p>
            <w:pPr>
              <w:spacing w:after="80" w:before="60"/>
            </w:pPr>
            <w:r>
              <w:rPr>
                <w:sz w:val="19"/>
              </w:rPr>
              <w:t>A separate approval right for a class or protected group over specified actions.</w:t>
            </w:r>
          </w:p>
        </w:tc>
        <w:tc>
          <w:tcPr>
            <w:tcW w:type="dxa" w:w="4248"/>
          </w:tcPr>
          <w:p>
            <w:pPr>
              <w:spacing w:after="80" w:before="60"/>
            </w:pPr>
            <w:r>
              <w:rPr>
                <w:sz w:val="19"/>
              </w:rPr>
              <w:t>Evaluate independently of aggregate shareholder approval and combine requirements as specified.</w:t>
            </w:r>
          </w:p>
        </w:tc>
      </w:tr>
      <w:tr>
        <w:trPr>
          <w:cantSplit/>
        </w:trPr>
        <w:tc>
          <w:tcPr>
            <w:tcW w:type="dxa" w:w="2160"/>
          </w:tcPr>
          <w:p>
            <w:pPr>
              <w:spacing w:after="80" w:before="60"/>
            </w:pPr>
            <w:r>
              <w:rPr>
                <w:sz w:val="19"/>
              </w:rPr>
              <w:t>Proxy and voting agreement</w:t>
            </w:r>
          </w:p>
        </w:tc>
        <w:tc>
          <w:tcPr>
            <w:tcW w:type="dxa" w:w="3816"/>
          </w:tcPr>
          <w:p>
            <w:pPr>
              <w:spacing w:after="80" w:before="60"/>
            </w:pPr>
            <w:r>
              <w:rPr>
                <w:sz w:val="19"/>
              </w:rPr>
              <w:t>Authority for another party to vote, or a contract governing voting behavior.</w:t>
            </w:r>
          </w:p>
        </w:tc>
        <w:tc>
          <w:tcPr>
            <w:tcW w:type="dxa" w:w="4248"/>
          </w:tcPr>
          <w:p>
            <w:pPr>
              <w:spacing w:after="80" w:before="60"/>
            </w:pPr>
            <w:r>
              <w:rPr>
                <w:sz w:val="19"/>
              </w:rPr>
              <w:t>Changes voting exercise/constraints without automatically transferring economic ownership.</w:t>
            </w:r>
          </w:p>
        </w:tc>
      </w:tr>
      <w:tr>
        <w:trPr>
          <w:cantSplit/>
        </w:trPr>
        <w:tc>
          <w:tcPr>
            <w:tcW w:type="dxa" w:w="2160"/>
          </w:tcPr>
          <w:p>
            <w:pPr>
              <w:spacing w:after="80" w:before="60"/>
            </w:pPr>
            <w:r>
              <w:rPr>
                <w:sz w:val="19"/>
              </w:rPr>
              <w:t>Board seat and observer right</w:t>
            </w:r>
          </w:p>
        </w:tc>
        <w:tc>
          <w:tcPr>
            <w:tcW w:type="dxa" w:w="3816"/>
          </w:tcPr>
          <w:p>
            <w:pPr>
              <w:spacing w:after="80" w:before="60"/>
            </w:pPr>
            <w:r>
              <w:rPr>
                <w:sz w:val="19"/>
              </w:rPr>
              <w:t>A right to appoint a director or attend under defined conditions.</w:t>
            </w:r>
          </w:p>
        </w:tc>
        <w:tc>
          <w:tcPr>
            <w:tcW w:type="dxa" w:w="4248"/>
          </w:tcPr>
          <w:p>
            <w:pPr>
              <w:spacing w:after="80" w:before="60"/>
            </w:pPr>
            <w:r>
              <w:rPr>
                <w:sz w:val="19"/>
              </w:rPr>
              <w:t>Governance metadata; not a shareholder vote percentage or automatic economic share.</w:t>
            </w:r>
          </w:p>
        </w:tc>
      </w:tr>
      <w:tr>
        <w:trPr>
          <w:cantSplit/>
        </w:trPr>
        <w:tc>
          <w:tcPr>
            <w:tcW w:type="dxa" w:w="2160"/>
          </w:tcPr>
          <w:p>
            <w:pPr>
              <w:spacing w:after="80" w:before="60"/>
            </w:pPr>
            <w:r>
              <w:rPr>
                <w:sz w:val="19"/>
              </w:rPr>
              <w:t>Consent and waiver</w:t>
            </w:r>
          </w:p>
        </w:tc>
        <w:tc>
          <w:tcPr>
            <w:tcW w:type="dxa" w:w="3816"/>
          </w:tcPr>
          <w:p>
            <w:pPr>
              <w:spacing w:after="80" w:before="60"/>
            </w:pPr>
            <w:r>
              <w:rPr>
                <w:sz w:val="19"/>
              </w:rPr>
              <w:t>An authorized approval, or relinquishment of a specified right or requirement.</w:t>
            </w:r>
          </w:p>
        </w:tc>
        <w:tc>
          <w:tcPr>
            <w:tcW w:type="dxa" w:w="4248"/>
          </w:tcPr>
          <w:p>
            <w:pPr>
              <w:spacing w:after="80" w:before="60"/>
            </w:pPr>
            <w:r>
              <w:rPr>
                <w:sz w:val="19"/>
              </w:rPr>
              <w:t>Record exact scope, version and evidence before applying an exception or mutation.</w:t>
            </w:r>
          </w:p>
        </w:tc>
      </w:tr>
      <w:tr>
        <w:trPr>
          <w:cantSplit/>
        </w:trPr>
        <w:tc>
          <w:tcPr>
            <w:tcW w:type="dxa" w:w="2160"/>
          </w:tcPr>
          <w:p>
            <w:pPr>
              <w:spacing w:after="80" w:before="60"/>
            </w:pPr>
            <w:r>
              <w:rPr>
                <w:sz w:val="19"/>
              </w:rPr>
              <w:t>Drag-along and tag-along or co-sale</w:t>
            </w:r>
          </w:p>
        </w:tc>
        <w:tc>
          <w:tcPr>
            <w:tcW w:type="dxa" w:w="3816"/>
          </w:tcPr>
          <w:p>
            <w:pPr>
              <w:spacing w:after="80" w:before="60"/>
            </w:pPr>
            <w:r>
              <w:rPr>
                <w:sz w:val="19"/>
              </w:rPr>
              <w:t>Rights requiring participation in a sale or allowing specified holders to join it.</w:t>
            </w:r>
          </w:p>
        </w:tc>
        <w:tc>
          <w:tcPr>
            <w:tcW w:type="dxa" w:w="4248"/>
          </w:tcPr>
          <w:p>
            <w:pPr>
              <w:spacing w:after="80" w:before="60"/>
            </w:pPr>
            <w:r>
              <w:rPr>
                <w:sz w:val="19"/>
              </w:rPr>
              <w:t>Affects eligibility, transfer and transaction treatment; not a universal payout formula.</w:t>
            </w:r>
          </w:p>
        </w:tc>
      </w:tr>
    </w:tbl>
    <w:p>
      <w:pPr>
        <w:spacing w:after="0"/>
      </w:pPr>
    </w:p>
    <w:p>
      <w:r>
        <w:br w:type="page"/>
      </w:r>
    </w:p>
    <w:p>
      <w:pPr>
        <w:pStyle w:val="Heading1"/>
      </w:pPr>
      <w:r>
        <w:t>T18 Transfers reorganizations and lifecycle events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ROFR or right of first refusal</w:t>
            </w:r>
          </w:p>
        </w:tc>
        <w:tc>
          <w:tcPr>
            <w:tcW w:type="dxa" w:w="3816"/>
          </w:tcPr>
          <w:p>
            <w:pPr>
              <w:spacing w:after="80" w:before="60"/>
            </w:pPr>
            <w:r>
              <w:rPr>
                <w:sz w:val="19"/>
              </w:rPr>
              <w:t>A right to match a specified proposed transfer under its terms.</w:t>
            </w:r>
          </w:p>
        </w:tc>
        <w:tc>
          <w:tcPr>
            <w:tcW w:type="dxa" w:w="4248"/>
          </w:tcPr>
          <w:p>
            <w:pPr>
              <w:spacing w:after="80" w:before="60"/>
            </w:pPr>
            <w:r>
              <w:rPr>
                <w:sz w:val="19"/>
              </w:rPr>
              <w:t>A transfer precondition and process; do not treat it as ownership until exercised and completed.</w:t>
            </w:r>
          </w:p>
        </w:tc>
      </w:tr>
      <w:tr>
        <w:trPr>
          <w:cantSplit/>
        </w:trPr>
        <w:tc>
          <w:tcPr>
            <w:tcW w:type="dxa" w:w="2160"/>
          </w:tcPr>
          <w:p>
            <w:pPr>
              <w:spacing w:after="80" w:before="60"/>
            </w:pPr>
            <w:r>
              <w:rPr>
                <w:sz w:val="19"/>
              </w:rPr>
              <w:t>ROFO or right of first offer</w:t>
            </w:r>
          </w:p>
        </w:tc>
        <w:tc>
          <w:tcPr>
            <w:tcW w:type="dxa" w:w="3816"/>
          </w:tcPr>
          <w:p>
            <w:pPr>
              <w:spacing w:after="80" w:before="60"/>
            </w:pPr>
            <w:r>
              <w:rPr>
                <w:sz w:val="19"/>
              </w:rPr>
              <w:t>A right to receive an initial offering opportunity before a specified outside sale process.</w:t>
            </w:r>
          </w:p>
        </w:tc>
        <w:tc>
          <w:tcPr>
            <w:tcW w:type="dxa" w:w="4248"/>
          </w:tcPr>
          <w:p>
            <w:pPr>
              <w:spacing w:after="80" w:before="60"/>
            </w:pPr>
            <w:r>
              <w:rPr>
                <w:sz w:val="19"/>
              </w:rPr>
              <w:t>Changes transaction workflow and eligibility; terms determine any price-setting effect.</w:t>
            </w:r>
          </w:p>
        </w:tc>
      </w:tr>
      <w:tr>
        <w:trPr>
          <w:cantSplit/>
        </w:trPr>
        <w:tc>
          <w:tcPr>
            <w:tcW w:type="dxa" w:w="2160"/>
          </w:tcPr>
          <w:p>
            <w:pPr>
              <w:spacing w:after="80" w:before="60"/>
            </w:pPr>
            <w:r>
              <w:rPr>
                <w:sz w:val="19"/>
              </w:rPr>
              <w:t>Transfer restriction and lockup</w:t>
            </w:r>
          </w:p>
        </w:tc>
        <w:tc>
          <w:tcPr>
            <w:tcW w:type="dxa" w:w="3816"/>
          </w:tcPr>
          <w:p>
            <w:pPr>
              <w:spacing w:after="80" w:before="60"/>
            </w:pPr>
            <w:r>
              <w:rPr>
                <w:sz w:val="19"/>
              </w:rPr>
              <w:t>A condition limiting transfer or a period when specified transfers are restricted.</w:t>
            </w:r>
          </w:p>
        </w:tc>
        <w:tc>
          <w:tcPr>
            <w:tcW w:type="dxa" w:w="4248"/>
          </w:tcPr>
          <w:p>
            <w:pPr>
              <w:spacing w:after="80" w:before="60"/>
            </w:pPr>
            <w:r>
              <w:rPr>
                <w:sz w:val="19"/>
              </w:rPr>
              <w:t>Checks permission and timing before recording an actual transfer.</w:t>
            </w:r>
          </w:p>
        </w:tc>
      </w:tr>
      <w:tr>
        <w:trPr>
          <w:cantSplit/>
        </w:trPr>
        <w:tc>
          <w:tcPr>
            <w:tcW w:type="dxa" w:w="2160"/>
          </w:tcPr>
          <w:p>
            <w:pPr>
              <w:spacing w:after="80" w:before="60"/>
            </w:pPr>
            <w:r>
              <w:rPr>
                <w:sz w:val="19"/>
              </w:rPr>
              <w:t>Stock split and reverse split</w:t>
            </w:r>
          </w:p>
        </w:tc>
        <w:tc>
          <w:tcPr>
            <w:tcW w:type="dxa" w:w="3816"/>
          </w:tcPr>
          <w:p>
            <w:pPr>
              <w:spacing w:after="80" w:before="60"/>
            </w:pPr>
            <w:r>
              <w:rPr>
                <w:sz w:val="19"/>
              </w:rPr>
              <w:t>Changes to units per existing share, increasing or decreasing quantities under a stated ratio.</w:t>
            </w:r>
          </w:p>
        </w:tc>
        <w:tc>
          <w:tcPr>
            <w:tcW w:type="dxa" w:w="4248"/>
          </w:tcPr>
          <w:p>
            <w:pPr>
              <w:spacing w:after="80" w:before="60"/>
            </w:pPr>
            <w:r>
              <w:rPr>
                <w:sz w:val="19"/>
              </w:rPr>
              <w:t>Adjust applicable quantities and per-share prices while preserving defined aggregate economics.</w:t>
            </w:r>
          </w:p>
        </w:tc>
      </w:tr>
      <w:tr>
        <w:trPr>
          <w:cantSplit/>
        </w:trPr>
        <w:tc>
          <w:tcPr>
            <w:tcW w:type="dxa" w:w="2160"/>
          </w:tcPr>
          <w:p>
            <w:pPr>
              <w:spacing w:after="80" w:before="60"/>
            </w:pPr>
            <w:r>
              <w:rPr>
                <w:sz w:val="19"/>
              </w:rPr>
              <w:t>Recapitalization</w:t>
            </w:r>
          </w:p>
        </w:tc>
        <w:tc>
          <w:tcPr>
            <w:tcW w:type="dxa" w:w="3816"/>
          </w:tcPr>
          <w:p>
            <w:pPr>
              <w:spacing w:after="80" w:before="60"/>
            </w:pPr>
            <w:r>
              <w:rPr>
                <w:sz w:val="19"/>
              </w:rPr>
              <w:t>An approved restructuring of share classes, quantities or rights.</w:t>
            </w:r>
          </w:p>
        </w:tc>
        <w:tc>
          <w:tcPr>
            <w:tcW w:type="dxa" w:w="4248"/>
          </w:tcPr>
          <w:p>
            <w:pPr>
              <w:spacing w:after="80" w:before="60"/>
            </w:pPr>
            <w:r>
              <w:rPr>
                <w:sz w:val="19"/>
              </w:rPr>
              <w:t>Use explicit mappings and before/after rights; a renamed class may be economically different.</w:t>
            </w:r>
          </w:p>
        </w:tc>
      </w:tr>
      <w:tr>
        <w:trPr>
          <w:cantSplit/>
        </w:trPr>
        <w:tc>
          <w:tcPr>
            <w:tcW w:type="dxa" w:w="2160"/>
          </w:tcPr>
          <w:p>
            <w:pPr>
              <w:spacing w:after="80" w:before="60"/>
            </w:pPr>
            <w:r>
              <w:rPr>
                <w:sz w:val="19"/>
              </w:rPr>
              <w:t>Reclassification and share exchange</w:t>
            </w:r>
          </w:p>
        </w:tc>
        <w:tc>
          <w:tcPr>
            <w:tcW w:type="dxa" w:w="3816"/>
          </w:tcPr>
          <w:p>
            <w:pPr>
              <w:spacing w:after="80" w:before="60"/>
            </w:pPr>
            <w:r>
              <w:rPr>
                <w:sz w:val="19"/>
              </w:rPr>
              <w:t>Moving securities into a defined class or exchanging them for other securities.</w:t>
            </w:r>
          </w:p>
        </w:tc>
        <w:tc>
          <w:tcPr>
            <w:tcW w:type="dxa" w:w="4248"/>
          </w:tcPr>
          <w:p>
            <w:pPr>
              <w:spacing w:after="80" w:before="60"/>
            </w:pPr>
            <w:r>
              <w:rPr>
                <w:sz w:val="19"/>
              </w:rPr>
              <w:t>Requires source-to-result ratios, rights and consideration allocation.</w:t>
            </w:r>
          </w:p>
        </w:tc>
      </w:tr>
      <w:tr>
        <w:trPr>
          <w:cantSplit/>
        </w:trPr>
        <w:tc>
          <w:tcPr>
            <w:tcW w:type="dxa" w:w="2160"/>
          </w:tcPr>
          <w:p>
            <w:pPr>
              <w:spacing w:after="80" w:before="60"/>
            </w:pPr>
            <w:r>
              <w:rPr>
                <w:sz w:val="19"/>
              </w:rPr>
              <w:t>Merger and acquisition</w:t>
            </w:r>
          </w:p>
        </w:tc>
        <w:tc>
          <w:tcPr>
            <w:tcW w:type="dxa" w:w="3816"/>
          </w:tcPr>
          <w:p>
            <w:pPr>
              <w:spacing w:after="80" w:before="60"/>
            </w:pPr>
            <w:r>
              <w:rPr>
                <w:sz w:val="19"/>
              </w:rPr>
              <w:t>A transaction combining entities or acquiring a business or securities.</w:t>
            </w:r>
          </w:p>
        </w:tc>
        <w:tc>
          <w:tcPr>
            <w:tcW w:type="dxa" w:w="4248"/>
          </w:tcPr>
          <w:p>
            <w:pPr>
              <w:spacing w:after="80" w:before="60"/>
            </w:pPr>
            <w:r>
              <w:rPr>
                <w:sz w:val="19"/>
              </w:rPr>
              <w:t>Keep each records of the issuer distinct and reconcile exchanged securities and transaction proceeds.</w:t>
            </w:r>
          </w:p>
        </w:tc>
      </w:tr>
      <w:tr>
        <w:trPr>
          <w:cantSplit/>
        </w:trPr>
        <w:tc>
          <w:tcPr>
            <w:tcW w:type="dxa" w:w="2160"/>
          </w:tcPr>
          <w:p>
            <w:pPr>
              <w:spacing w:after="80" w:before="60"/>
            </w:pPr>
            <w:r>
              <w:rPr>
                <w:sz w:val="19"/>
              </w:rPr>
              <w:t>IPO or initial public offering</w:t>
            </w:r>
          </w:p>
        </w:tc>
        <w:tc>
          <w:tcPr>
            <w:tcW w:type="dxa" w:w="3816"/>
          </w:tcPr>
          <w:p>
            <w:pPr>
              <w:spacing w:after="80" w:before="60"/>
            </w:pPr>
            <w:r>
              <w:rPr>
                <w:sz w:val="19"/>
              </w:rPr>
              <w:t>An initial public offering of company securities.</w:t>
            </w:r>
          </w:p>
        </w:tc>
        <w:tc>
          <w:tcPr>
            <w:tcW w:type="dxa" w:w="4248"/>
          </w:tcPr>
          <w:p>
            <w:pPr>
              <w:spacing w:after="80" w:before="60"/>
            </w:pPr>
            <w:r>
              <w:rPr>
                <w:sz w:val="19"/>
              </w:rPr>
              <w:t>May activate specific conversion and lockup rules; it is not automatically a cash-sale waterfall.</w:t>
            </w:r>
          </w:p>
        </w:tc>
      </w:tr>
      <w:tr>
        <w:trPr>
          <w:cantSplit/>
        </w:trPr>
        <w:tc>
          <w:tcPr>
            <w:tcW w:type="dxa" w:w="2160"/>
          </w:tcPr>
          <w:p>
            <w:pPr>
              <w:spacing w:after="80" w:before="60"/>
            </w:pPr>
            <w:r>
              <w:rPr>
                <w:sz w:val="19"/>
              </w:rPr>
              <w:t>Cancellation versus retirement</w:t>
            </w:r>
          </w:p>
        </w:tc>
        <w:tc>
          <w:tcPr>
            <w:tcW w:type="dxa" w:w="3816"/>
          </w:tcPr>
          <w:p>
            <w:pPr>
              <w:spacing w:after="80" w:before="60"/>
            </w:pPr>
            <w:r>
              <w:rPr>
                <w:sz w:val="19"/>
              </w:rPr>
              <w:t>Ending an instrument or removing shares from issued capital under applicable rules.</w:t>
            </w:r>
          </w:p>
        </w:tc>
        <w:tc>
          <w:tcPr>
            <w:tcW w:type="dxa" w:w="4248"/>
          </w:tcPr>
          <w:p>
            <w:pPr>
              <w:spacing w:after="80" w:before="60"/>
            </w:pPr>
            <w:r>
              <w:rPr>
                <w:sz w:val="19"/>
              </w:rPr>
              <w:t>Distinguish legal cancellation, treasury holdings and retirement from deletion of an import error.</w:t>
            </w:r>
          </w:p>
        </w:tc>
      </w:tr>
      <w:tr>
        <w:trPr>
          <w:cantSplit/>
        </w:trPr>
        <w:tc>
          <w:tcPr>
            <w:tcW w:type="dxa" w:w="2160"/>
          </w:tcPr>
          <w:p>
            <w:pPr>
              <w:spacing w:after="80" w:before="60"/>
            </w:pPr>
            <w:r>
              <w:rPr>
                <w:sz w:val="19"/>
              </w:rPr>
              <w:t>Fractional share and cash in lieu</w:t>
            </w:r>
          </w:p>
        </w:tc>
        <w:tc>
          <w:tcPr>
            <w:tcW w:type="dxa" w:w="3816"/>
          </w:tcPr>
          <w:p>
            <w:pPr>
              <w:spacing w:after="80" w:before="60"/>
            </w:pPr>
            <w:r>
              <w:rPr>
                <w:sz w:val="19"/>
              </w:rPr>
              <w:t>A share quantity below a whole unit and a cash amount replacing a fraction under approved rules.</w:t>
            </w:r>
          </w:p>
        </w:tc>
        <w:tc>
          <w:tcPr>
            <w:tcW w:type="dxa" w:w="4248"/>
          </w:tcPr>
          <w:p>
            <w:pPr>
              <w:spacing w:after="80" w:before="60"/>
            </w:pPr>
            <w:r>
              <w:rPr>
                <w:sz w:val="19"/>
              </w:rPr>
              <w:t>Preserve fractions or record their disposition; do not silently discard them.</w:t>
            </w:r>
          </w:p>
        </w:tc>
      </w:tr>
      <w:tr>
        <w:trPr>
          <w:cantSplit/>
        </w:trPr>
        <w:tc>
          <w:tcPr>
            <w:tcW w:type="dxa" w:w="2160"/>
          </w:tcPr>
          <w:p>
            <w:pPr>
              <w:spacing w:after="80" w:before="60"/>
            </w:pPr>
            <w:r>
              <w:rPr>
                <w:sz w:val="19"/>
              </w:rPr>
              <w:t>Corporate action effective date</w:t>
            </w:r>
          </w:p>
        </w:tc>
        <w:tc>
          <w:tcPr>
            <w:tcW w:type="dxa" w:w="3816"/>
          </w:tcPr>
          <w:p>
            <w:pPr>
              <w:spacing w:after="80" w:before="60"/>
            </w:pPr>
            <w:r>
              <w:rPr>
                <w:sz w:val="19"/>
              </w:rPr>
              <w:t>The date a split, exchange or similar change takes effect.</w:t>
            </w:r>
          </w:p>
        </w:tc>
        <w:tc>
          <w:tcPr>
            <w:tcW w:type="dxa" w:w="4248"/>
          </w:tcPr>
          <w:p>
            <w:pPr>
              <w:spacing w:after="80" w:before="60"/>
            </w:pPr>
            <w:r>
              <w:rPr>
                <w:sz w:val="19"/>
              </w:rPr>
              <w:t>Orders quantity and price adjustments relative to other transactions.</w:t>
            </w:r>
          </w:p>
        </w:tc>
      </w:tr>
      <w:tr>
        <w:trPr>
          <w:cantSplit/>
        </w:trPr>
        <w:tc>
          <w:tcPr>
            <w:tcW w:type="dxa" w:w="2160"/>
          </w:tcPr>
          <w:p>
            <w:pPr>
              <w:spacing w:after="80" w:before="60"/>
            </w:pPr>
            <w:r>
              <w:rPr>
                <w:sz w:val="19"/>
              </w:rPr>
              <w:t>Correction reversal and replacement</w:t>
            </w:r>
          </w:p>
        </w:tc>
        <w:tc>
          <w:tcPr>
            <w:tcW w:type="dxa" w:w="3816"/>
          </w:tcPr>
          <w:p>
            <w:pPr>
              <w:spacing w:after="80" w:before="60"/>
            </w:pPr>
            <w:r>
              <w:rPr>
                <w:sz w:val="19"/>
              </w:rPr>
              <w:t>New records that undo or supersede an erroneous posted transaction while preserving its history.</w:t>
            </w:r>
          </w:p>
        </w:tc>
        <w:tc>
          <w:tcPr>
            <w:tcW w:type="dxa" w:w="4248"/>
          </w:tcPr>
          <w:p>
            <w:pPr>
              <w:spacing w:after="80" w:before="60"/>
            </w:pPr>
            <w:r>
              <w:rPr>
                <w:sz w:val="19"/>
              </w:rPr>
              <w:t>Recompute affected balances and dependent results; do not delete old approved financial events.</w:t>
            </w:r>
          </w:p>
        </w:tc>
      </w:tr>
    </w:tbl>
    <w:p>
      <w:pPr>
        <w:spacing w:after="0"/>
      </w:pPr>
    </w:p>
    <w:p>
      <w:r>
        <w:br w:type="page"/>
      </w:r>
    </w:p>
    <w:p>
      <w:pPr>
        <w:pStyle w:val="Heading1"/>
      </w:pPr>
      <w:r>
        <w:t>T19 Valuation tax and accounting interfaces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Fair market value or FMV</w:t>
            </w:r>
          </w:p>
        </w:tc>
        <w:tc>
          <w:tcPr>
            <w:tcW w:type="dxa" w:w="3816"/>
          </w:tcPr>
          <w:p>
            <w:pPr>
              <w:spacing w:after="80" w:before="60"/>
            </w:pPr>
            <w:r>
              <w:rPr>
                <w:sz w:val="19"/>
              </w:rPr>
              <w:t>A supported value at a stated date and for a stated purpose.</w:t>
            </w:r>
          </w:p>
        </w:tc>
        <w:tc>
          <w:tcPr>
            <w:tcW w:type="dxa" w:w="4248"/>
          </w:tcPr>
          <w:p>
            <w:pPr>
              <w:spacing w:after="80" w:before="60"/>
            </w:pPr>
            <w:r>
              <w:rPr>
                <w:sz w:val="19"/>
              </w:rPr>
              <w:t>Can feed exercise, settlement or tax inputs; it is not automatically the preferred financing price.</w:t>
            </w:r>
          </w:p>
        </w:tc>
      </w:tr>
      <w:tr>
        <w:trPr>
          <w:cantSplit/>
        </w:trPr>
        <w:tc>
          <w:tcPr>
            <w:tcW w:type="dxa" w:w="2160"/>
          </w:tcPr>
          <w:p>
            <w:pPr>
              <w:spacing w:after="80" w:before="60"/>
            </w:pPr>
            <w:r>
              <w:rPr>
                <w:sz w:val="19"/>
              </w:rPr>
              <w:t>409A valuation</w:t>
            </w:r>
          </w:p>
        </w:tc>
        <w:tc>
          <w:tcPr>
            <w:tcW w:type="dxa" w:w="3816"/>
          </w:tcPr>
          <w:p>
            <w:pPr>
              <w:spacing w:after="80" w:before="60"/>
            </w:pPr>
            <w:r>
              <w:rPr>
                <w:sz w:val="19"/>
              </w:rPr>
              <w:t>A US valuation used in connection with relevant deferred-compensation and stock-right rules.</w:t>
            </w:r>
          </w:p>
        </w:tc>
        <w:tc>
          <w:tcPr>
            <w:tcW w:type="dxa" w:w="4248"/>
          </w:tcPr>
          <w:p>
            <w:pPr>
              <w:spacing w:after="80" w:before="60"/>
            </w:pPr>
            <w:r>
              <w:rPr>
                <w:sz w:val="19"/>
              </w:rPr>
              <w:t>Store date and scope; tax compliance and valuation methodology require a separately reviewed service.</w:t>
            </w:r>
          </w:p>
        </w:tc>
      </w:tr>
      <w:tr>
        <w:trPr>
          <w:cantSplit/>
        </w:trPr>
        <w:tc>
          <w:tcPr>
            <w:tcW w:type="dxa" w:w="2160"/>
          </w:tcPr>
          <w:p>
            <w:pPr>
              <w:spacing w:after="80" w:before="60"/>
            </w:pPr>
            <w:r>
              <w:rPr>
                <w:sz w:val="19"/>
              </w:rPr>
              <w:t>ISO or incentive stock option</w:t>
            </w:r>
          </w:p>
        </w:tc>
        <w:tc>
          <w:tcPr>
            <w:tcW w:type="dxa" w:w="3816"/>
          </w:tcPr>
          <w:p>
            <w:pPr>
              <w:spacing w:after="80" w:before="60"/>
            </w:pPr>
            <w:r>
              <w:rPr>
                <w:sz w:val="19"/>
              </w:rPr>
              <w:t>A US tax-classified employee stock option meeting applicable requirements.</w:t>
            </w:r>
          </w:p>
        </w:tc>
        <w:tc>
          <w:tcPr>
            <w:tcW w:type="dxa" w:w="4248"/>
          </w:tcPr>
          <w:p>
            <w:pPr>
              <w:spacing w:after="80" w:before="60"/>
            </w:pPr>
            <w:r>
              <w:rPr>
                <w:sz w:val="19"/>
              </w:rPr>
              <w:t>Record classification and facts; do not infer eligibility or tax outcome from the label alone.</w:t>
            </w:r>
          </w:p>
        </w:tc>
      </w:tr>
      <w:tr>
        <w:trPr>
          <w:cantSplit/>
        </w:trPr>
        <w:tc>
          <w:tcPr>
            <w:tcW w:type="dxa" w:w="2160"/>
          </w:tcPr>
          <w:p>
            <w:pPr>
              <w:spacing w:after="80" w:before="60"/>
            </w:pPr>
            <w:r>
              <w:rPr>
                <w:sz w:val="19"/>
              </w:rPr>
              <w:t>NSO or NQSO</w:t>
            </w:r>
          </w:p>
        </w:tc>
        <w:tc>
          <w:tcPr>
            <w:tcW w:type="dxa" w:w="3816"/>
          </w:tcPr>
          <w:p>
            <w:pPr>
              <w:spacing w:after="80" w:before="60"/>
            </w:pPr>
            <w:r>
              <w:rPr>
                <w:sz w:val="19"/>
              </w:rPr>
              <w:t>A nonstatutory or nonqualified stock option for relevant US tax treatment.</w:t>
            </w:r>
          </w:p>
        </w:tc>
        <w:tc>
          <w:tcPr>
            <w:tcW w:type="dxa" w:w="4248"/>
          </w:tcPr>
          <w:p>
            <w:pPr>
              <w:spacing w:after="80" w:before="60"/>
            </w:pPr>
            <w:r>
              <w:rPr>
                <w:sz w:val="19"/>
              </w:rPr>
              <w:t>Tax/withholding inputs may differ from ISO treatment; use verified rules or supplied amounts.</w:t>
            </w:r>
          </w:p>
        </w:tc>
      </w:tr>
      <w:tr>
        <w:trPr>
          <w:cantSplit/>
        </w:trPr>
        <w:tc>
          <w:tcPr>
            <w:tcW w:type="dxa" w:w="2160"/>
          </w:tcPr>
          <w:p>
            <w:pPr>
              <w:spacing w:after="80" w:before="60"/>
            </w:pPr>
            <w:r>
              <w:rPr>
                <w:sz w:val="19"/>
              </w:rPr>
              <w:t>ESPP</w:t>
            </w:r>
          </w:p>
        </w:tc>
        <w:tc>
          <w:tcPr>
            <w:tcW w:type="dxa" w:w="3816"/>
          </w:tcPr>
          <w:p>
            <w:pPr>
              <w:spacing w:after="80" w:before="60"/>
            </w:pPr>
            <w:r>
              <w:rPr>
                <w:sz w:val="19"/>
              </w:rPr>
              <w:t>An employee stock purchase plan; some plans have specific statutory tax treatment.</w:t>
            </w:r>
          </w:p>
        </w:tc>
        <w:tc>
          <w:tcPr>
            <w:tcW w:type="dxa" w:w="4248"/>
          </w:tcPr>
          <w:p>
            <w:pPr>
              <w:spacing w:after="80" w:before="60"/>
            </w:pPr>
            <w:r>
              <w:rPr>
                <w:sz w:val="19"/>
              </w:rPr>
              <w:t>Track its actual purchase, discount and eligibility rules instead of treating it as a generic option grant.</w:t>
            </w:r>
          </w:p>
        </w:tc>
      </w:tr>
      <w:tr>
        <w:trPr>
          <w:cantSplit/>
        </w:trPr>
        <w:tc>
          <w:tcPr>
            <w:tcW w:type="dxa" w:w="2160"/>
          </w:tcPr>
          <w:p>
            <w:pPr>
              <w:spacing w:after="80" w:before="60"/>
            </w:pPr>
            <w:r>
              <w:rPr>
                <w:sz w:val="19"/>
              </w:rPr>
              <w:t>83(b) election</w:t>
            </w:r>
          </w:p>
        </w:tc>
        <w:tc>
          <w:tcPr>
            <w:tcW w:type="dxa" w:w="3816"/>
          </w:tcPr>
          <w:p>
            <w:pPr>
              <w:spacing w:after="80" w:before="60"/>
            </w:pPr>
            <w:r>
              <w:rPr>
                <w:sz w:val="19"/>
              </w:rPr>
              <w:t>A US tax election concerning eligible substantially nonvested property transferred for services.</w:t>
            </w:r>
          </w:p>
        </w:tc>
        <w:tc>
          <w:tcPr>
            <w:tcW w:type="dxa" w:w="4248"/>
          </w:tcPr>
          <w:p>
            <w:pPr>
              <w:spacing w:after="80" w:before="60"/>
            </w:pPr>
            <w:r>
              <w:rPr>
                <w:sz w:val="19"/>
              </w:rPr>
              <w:t>Track applicable transfer, filing and evidence facts; it is not an election on an unexercised option itself.</w:t>
            </w:r>
          </w:p>
        </w:tc>
      </w:tr>
      <w:tr>
        <w:trPr>
          <w:cantSplit/>
        </w:trPr>
        <w:tc>
          <w:tcPr>
            <w:tcW w:type="dxa" w:w="2160"/>
          </w:tcPr>
          <w:p>
            <w:pPr>
              <w:spacing w:after="80" w:before="60"/>
            </w:pPr>
            <w:r>
              <w:rPr>
                <w:sz w:val="19"/>
              </w:rPr>
              <w:t>QSBS</w:t>
            </w:r>
          </w:p>
        </w:tc>
        <w:tc>
          <w:tcPr>
            <w:tcW w:type="dxa" w:w="3816"/>
          </w:tcPr>
          <w:p>
            <w:pPr>
              <w:spacing w:after="80" w:before="60"/>
            </w:pPr>
            <w:r>
              <w:rPr>
                <w:sz w:val="19"/>
              </w:rPr>
              <w:t>Qualified small business stock, a US tax classification subject to multiple requirements.</w:t>
            </w:r>
          </w:p>
        </w:tc>
        <w:tc>
          <w:tcPr>
            <w:tcW w:type="dxa" w:w="4248"/>
          </w:tcPr>
          <w:p>
            <w:pPr>
              <w:spacing w:after="80" w:before="60"/>
            </w:pPr>
            <w:r>
              <w:rPr>
                <w:sz w:val="19"/>
              </w:rPr>
              <w:t>Preserve supporting dates and facts; no automatic eligibility or tax savings from cap table ownership alone.</w:t>
            </w:r>
          </w:p>
        </w:tc>
      </w:tr>
      <w:tr>
        <w:trPr>
          <w:cantSplit/>
        </w:trPr>
        <w:tc>
          <w:tcPr>
            <w:tcW w:type="dxa" w:w="2160"/>
          </w:tcPr>
          <w:p>
            <w:pPr>
              <w:spacing w:after="80" w:before="60"/>
            </w:pPr>
            <w:r>
              <w:rPr>
                <w:sz w:val="19"/>
              </w:rPr>
              <w:t>AMT or alternative minimum tax</w:t>
            </w:r>
          </w:p>
        </w:tc>
        <w:tc>
          <w:tcPr>
            <w:tcW w:type="dxa" w:w="3816"/>
          </w:tcPr>
          <w:p>
            <w:pPr>
              <w:spacing w:after="80" w:before="60"/>
            </w:pPr>
            <w:r>
              <w:rPr>
                <w:sz w:val="19"/>
              </w:rPr>
              <w:t>A separate US tax computation that can be relevant to certain option events.</w:t>
            </w:r>
          </w:p>
        </w:tc>
        <w:tc>
          <w:tcPr>
            <w:tcW w:type="dxa" w:w="4248"/>
          </w:tcPr>
          <w:p>
            <w:pPr>
              <w:spacing w:after="80" w:before="60"/>
            </w:pPr>
            <w:r>
              <w:rPr>
                <w:sz w:val="19"/>
              </w:rPr>
              <w:t>Requires a tax service or reviewer inputs; it is not a share-quantity adjustment.</w:t>
            </w:r>
          </w:p>
        </w:tc>
      </w:tr>
      <w:tr>
        <w:trPr>
          <w:cantSplit/>
        </w:trPr>
        <w:tc>
          <w:tcPr>
            <w:tcW w:type="dxa" w:w="2160"/>
          </w:tcPr>
          <w:p>
            <w:pPr>
              <w:spacing w:after="80" w:before="60"/>
            </w:pPr>
            <w:r>
              <w:rPr>
                <w:sz w:val="19"/>
              </w:rPr>
              <w:t>Cost basis and holding period</w:t>
            </w:r>
          </w:p>
        </w:tc>
        <w:tc>
          <w:tcPr>
            <w:tcW w:type="dxa" w:w="3816"/>
          </w:tcPr>
          <w:p>
            <w:pPr>
              <w:spacing w:after="80" w:before="60"/>
            </w:pPr>
            <w:r>
              <w:rPr>
                <w:sz w:val="19"/>
              </w:rPr>
              <w:t>Tax-related investment basis and the period measured under applicable rules.</w:t>
            </w:r>
          </w:p>
        </w:tc>
        <w:tc>
          <w:tcPr>
            <w:tcW w:type="dxa" w:w="4248"/>
          </w:tcPr>
          <w:p>
            <w:pPr>
              <w:spacing w:after="80" w:before="60"/>
            </w:pPr>
            <w:r>
              <w:rPr>
                <w:sz w:val="19"/>
              </w:rPr>
              <w:t>Retain lot history; do not infer universal tax basis or holding periods from current quantities.</w:t>
            </w:r>
          </w:p>
        </w:tc>
      </w:tr>
      <w:tr>
        <w:trPr>
          <w:cantSplit/>
        </w:trPr>
        <w:tc>
          <w:tcPr>
            <w:tcW w:type="dxa" w:w="2160"/>
          </w:tcPr>
          <w:p>
            <w:pPr>
              <w:spacing w:after="80" w:before="60"/>
            </w:pPr>
            <w:r>
              <w:rPr>
                <w:sz w:val="19"/>
              </w:rPr>
              <w:t>Withholding rate and tax residence</w:t>
            </w:r>
          </w:p>
        </w:tc>
        <w:tc>
          <w:tcPr>
            <w:tcW w:type="dxa" w:w="3816"/>
          </w:tcPr>
          <w:p>
            <w:pPr>
              <w:spacing w:after="80" w:before="60"/>
            </w:pPr>
            <w:r>
              <w:rPr>
                <w:sz w:val="19"/>
              </w:rPr>
              <w:t>An applicable retention rate and jurisdictional status used for tax obligations.</w:t>
            </w:r>
          </w:p>
        </w:tc>
        <w:tc>
          <w:tcPr>
            <w:tcW w:type="dxa" w:w="4248"/>
          </w:tcPr>
          <w:p>
            <w:pPr>
              <w:spacing w:after="80" w:before="60"/>
            </w:pPr>
            <w:r>
              <w:rPr>
                <w:sz w:val="19"/>
              </w:rPr>
              <w:t>Use verified inputs for net settlement; never invent a rate from a address of a holder alone.</w:t>
            </w:r>
          </w:p>
        </w:tc>
      </w:tr>
      <w:tr>
        <w:trPr>
          <w:cantSplit/>
        </w:trPr>
        <w:tc>
          <w:tcPr>
            <w:tcW w:type="dxa" w:w="2160"/>
          </w:tcPr>
          <w:p>
            <w:pPr>
              <w:spacing w:after="80" w:before="60"/>
            </w:pPr>
            <w:r>
              <w:rPr>
                <w:sz w:val="19"/>
              </w:rPr>
              <w:t>ASC 718 and IFRS 2</w:t>
            </w:r>
          </w:p>
        </w:tc>
        <w:tc>
          <w:tcPr>
            <w:tcW w:type="dxa" w:w="3816"/>
          </w:tcPr>
          <w:p>
            <w:pPr>
              <w:spacing w:after="80" w:before="60"/>
            </w:pPr>
            <w:r>
              <w:rPr>
                <w:sz w:val="19"/>
              </w:rPr>
              <w:t>Accounting standards concerning share-based payment arrangements.</w:t>
            </w:r>
          </w:p>
        </w:tc>
        <w:tc>
          <w:tcPr>
            <w:tcW w:type="dxa" w:w="4248"/>
          </w:tcPr>
          <w:p>
            <w:pPr>
              <w:spacing w:after="80" w:before="60"/>
            </w:pPr>
            <w:r>
              <w:rPr>
                <w:sz w:val="19"/>
              </w:rPr>
              <w:t>Accounting valuation/expense recognition is separate from cap table ownership calculations.</w:t>
            </w:r>
          </w:p>
        </w:tc>
      </w:tr>
      <w:tr>
        <w:trPr>
          <w:cantSplit/>
        </w:trPr>
        <w:tc>
          <w:tcPr>
            <w:tcW w:type="dxa" w:w="2160"/>
          </w:tcPr>
          <w:p>
            <w:pPr>
              <w:spacing w:after="80" w:before="60"/>
            </w:pPr>
            <w:r>
              <w:rPr>
                <w:sz w:val="19"/>
              </w:rPr>
              <w:t>Black-Scholes and option fair value</w:t>
            </w:r>
          </w:p>
        </w:tc>
        <w:tc>
          <w:tcPr>
            <w:tcW w:type="dxa" w:w="3816"/>
          </w:tcPr>
          <w:p>
            <w:pPr>
              <w:spacing w:after="80" w:before="60"/>
            </w:pPr>
            <w:r>
              <w:rPr>
                <w:sz w:val="19"/>
              </w:rPr>
              <w:t>An option-pricing model and the value produced under a defined valuation approach.</w:t>
            </w:r>
          </w:p>
        </w:tc>
        <w:tc>
          <w:tcPr>
            <w:tcW w:type="dxa" w:w="4248"/>
          </w:tcPr>
          <w:p>
            <w:pPr>
              <w:spacing w:after="80" w:before="60"/>
            </w:pPr>
            <w:r>
              <w:rPr>
                <w:sz w:val="19"/>
              </w:rPr>
              <w:t>May support accounting or valuation services; do not substitute it for an option exercise payout.</w:t>
            </w:r>
          </w:p>
        </w:tc>
      </w:tr>
    </w:tbl>
    <w:p>
      <w:pPr>
        <w:spacing w:after="0"/>
      </w:pPr>
    </w:p>
    <w:p>
      <w:r>
        <w:br w:type="page"/>
      </w:r>
    </w:p>
    <w:p>
      <w:pPr>
        <w:pStyle w:val="Heading1"/>
      </w:pPr>
      <w:r>
        <w:t>T20 International structures and unusual instruments</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LLC membership or partnership interest</w:t>
            </w:r>
          </w:p>
        </w:tc>
        <w:tc>
          <w:tcPr>
            <w:tcW w:type="dxa" w:w="3816"/>
          </w:tcPr>
          <w:p>
            <w:pPr>
              <w:spacing w:after="80" w:before="60"/>
            </w:pPr>
            <w:r>
              <w:rPr>
                <w:sz w:val="19"/>
              </w:rPr>
              <w:t>An ownership interest in a noncorporate entity with its own agreement rights.</w:t>
            </w:r>
          </w:p>
        </w:tc>
        <w:tc>
          <w:tcPr>
            <w:tcW w:type="dxa" w:w="4248"/>
          </w:tcPr>
          <w:p>
            <w:pPr>
              <w:spacing w:after="80" w:before="60"/>
            </w:pPr>
            <w:r>
              <w:rPr>
                <w:sz w:val="19"/>
              </w:rPr>
              <w:t>Needs unit classes, allocations and distribution rules; do not assume common-stock economics.</w:t>
            </w:r>
          </w:p>
        </w:tc>
      </w:tr>
      <w:tr>
        <w:trPr>
          <w:cantSplit/>
        </w:trPr>
        <w:tc>
          <w:tcPr>
            <w:tcW w:type="dxa" w:w="2160"/>
          </w:tcPr>
          <w:p>
            <w:pPr>
              <w:spacing w:after="80" w:before="60"/>
            </w:pPr>
            <w:r>
              <w:rPr>
                <w:sz w:val="19"/>
              </w:rPr>
              <w:t>Capital contribution and capital account</w:t>
            </w:r>
          </w:p>
        </w:tc>
        <w:tc>
          <w:tcPr>
            <w:tcW w:type="dxa" w:w="3816"/>
          </w:tcPr>
          <w:p>
            <w:pPr>
              <w:spacing w:after="80" w:before="60"/>
            </w:pPr>
            <w:r>
              <w:rPr>
                <w:sz w:val="19"/>
              </w:rPr>
              <w:t>An amount contributed and the account tracked under the entity accounting or agreement rules.</w:t>
            </w:r>
          </w:p>
        </w:tc>
        <w:tc>
          <w:tcPr>
            <w:tcW w:type="dxa" w:w="4248"/>
          </w:tcPr>
          <w:p>
            <w:pPr>
              <w:spacing w:after="80" w:before="60"/>
            </w:pPr>
            <w:r>
              <w:rPr>
                <w:sz w:val="19"/>
              </w:rPr>
              <w:t>Capital account balance is not automatically the unit ownership percentage or sale entitlement.</w:t>
            </w:r>
          </w:p>
        </w:tc>
      </w:tr>
      <w:tr>
        <w:trPr>
          <w:cantSplit/>
        </w:trPr>
        <w:tc>
          <w:tcPr>
            <w:tcW w:type="dxa" w:w="2160"/>
          </w:tcPr>
          <w:p>
            <w:pPr>
              <w:spacing w:after="80" w:before="60"/>
            </w:pPr>
            <w:r>
              <w:rPr>
                <w:sz w:val="19"/>
              </w:rPr>
              <w:t>Profits interest</w:t>
            </w:r>
          </w:p>
        </w:tc>
        <w:tc>
          <w:tcPr>
            <w:tcW w:type="dxa" w:w="3816"/>
          </w:tcPr>
          <w:p>
            <w:pPr>
              <w:spacing w:after="80" w:before="60"/>
            </w:pPr>
            <w:r>
              <w:rPr>
                <w:sz w:val="19"/>
              </w:rPr>
              <w:t>An interest participating in specified future profits or appreciation under its terms.</w:t>
            </w:r>
          </w:p>
        </w:tc>
        <w:tc>
          <w:tcPr>
            <w:tcW w:type="dxa" w:w="4248"/>
          </w:tcPr>
          <w:p>
            <w:pPr>
              <w:spacing w:after="80" w:before="60"/>
            </w:pPr>
            <w:r>
              <w:rPr>
                <w:sz w:val="19"/>
              </w:rPr>
              <w:t>Requires hurdle, vesting and distribution eligibility; zero initial value does not imply zero proceeds.</w:t>
            </w:r>
          </w:p>
        </w:tc>
      </w:tr>
      <w:tr>
        <w:trPr>
          <w:cantSplit/>
        </w:trPr>
        <w:tc>
          <w:tcPr>
            <w:tcW w:type="dxa" w:w="2160"/>
          </w:tcPr>
          <w:p>
            <w:pPr>
              <w:spacing w:after="80" w:before="60"/>
            </w:pPr>
            <w:r>
              <w:rPr>
                <w:sz w:val="19"/>
              </w:rPr>
              <w:t>Hurdle</w:t>
            </w:r>
          </w:p>
        </w:tc>
        <w:tc>
          <w:tcPr>
            <w:tcW w:type="dxa" w:w="3816"/>
          </w:tcPr>
          <w:p>
            <w:pPr>
              <w:spacing w:after="80" w:before="60"/>
            </w:pPr>
            <w:r>
              <w:rPr>
                <w:sz w:val="19"/>
              </w:rPr>
              <w:t>A threshold before a participant becomes entitled to a specified allocation.</w:t>
            </w:r>
          </w:p>
        </w:tc>
        <w:tc>
          <w:tcPr>
            <w:tcW w:type="dxa" w:w="4248"/>
          </w:tcPr>
          <w:p>
            <w:pPr>
              <w:spacing w:after="80" w:before="60"/>
            </w:pPr>
            <w:r>
              <w:rPr>
                <w:sz w:val="19"/>
              </w:rPr>
              <w:t>Can change award or partnership waterfalls; the base and event must be explicit.</w:t>
            </w:r>
          </w:p>
        </w:tc>
      </w:tr>
      <w:tr>
        <w:trPr>
          <w:cantSplit/>
        </w:trPr>
        <w:tc>
          <w:tcPr>
            <w:tcW w:type="dxa" w:w="2160"/>
          </w:tcPr>
          <w:p>
            <w:pPr>
              <w:spacing w:after="80" w:before="60"/>
            </w:pPr>
            <w:r>
              <w:rPr>
                <w:sz w:val="19"/>
              </w:rPr>
              <w:t>Preferred return</w:t>
            </w:r>
          </w:p>
        </w:tc>
        <w:tc>
          <w:tcPr>
            <w:tcW w:type="dxa" w:w="3816"/>
          </w:tcPr>
          <w:p>
            <w:pPr>
              <w:spacing w:after="80" w:before="60"/>
            </w:pPr>
            <w:r>
              <w:rPr>
                <w:sz w:val="19"/>
              </w:rPr>
              <w:t>A defined economic return paid before specified later distributions.</w:t>
            </w:r>
          </w:p>
        </w:tc>
        <w:tc>
          <w:tcPr>
            <w:tcW w:type="dxa" w:w="4248"/>
          </w:tcPr>
          <w:p>
            <w:pPr>
              <w:spacing w:after="80" w:before="60"/>
            </w:pPr>
            <w:r>
              <w:rPr>
                <w:sz w:val="19"/>
              </w:rPr>
              <w:t>Requires amount base, rate, dates, compounding and priority, distinct from a generic share preference.</w:t>
            </w:r>
          </w:p>
        </w:tc>
      </w:tr>
      <w:tr>
        <w:trPr>
          <w:cantSplit/>
        </w:trPr>
        <w:tc>
          <w:tcPr>
            <w:tcW w:type="dxa" w:w="2160"/>
          </w:tcPr>
          <w:p>
            <w:pPr>
              <w:spacing w:after="80" w:before="60"/>
            </w:pPr>
            <w:r>
              <w:rPr>
                <w:sz w:val="19"/>
              </w:rPr>
              <w:t>Catch-up</w:t>
            </w:r>
          </w:p>
        </w:tc>
        <w:tc>
          <w:tcPr>
            <w:tcW w:type="dxa" w:w="3816"/>
          </w:tcPr>
          <w:p>
            <w:pPr>
              <w:spacing w:after="80" w:before="60"/>
            </w:pPr>
            <w:r>
              <w:rPr>
                <w:sz w:val="19"/>
              </w:rPr>
              <w:t>A distribution stage reallocating proceeds toward a specified participant or split after earlier tiers.</w:t>
            </w:r>
          </w:p>
        </w:tc>
        <w:tc>
          <w:tcPr>
            <w:tcW w:type="dxa" w:w="4248"/>
          </w:tcPr>
          <w:p>
            <w:pPr>
              <w:spacing w:after="80" w:before="60"/>
            </w:pPr>
            <w:r>
              <w:rPr>
                <w:sz w:val="19"/>
              </w:rPr>
              <w:t>Implement as its own waterfall tier with explicit target and sharing rule.</w:t>
            </w:r>
          </w:p>
        </w:tc>
      </w:tr>
      <w:tr>
        <w:trPr>
          <w:cantSplit/>
        </w:trPr>
        <w:tc>
          <w:tcPr>
            <w:tcW w:type="dxa" w:w="2160"/>
          </w:tcPr>
          <w:p>
            <w:pPr>
              <w:spacing w:after="80" w:before="60"/>
            </w:pPr>
            <w:r>
              <w:rPr>
                <w:sz w:val="19"/>
              </w:rPr>
              <w:t>Carry or carried interest and promote</w:t>
            </w:r>
          </w:p>
        </w:tc>
        <w:tc>
          <w:tcPr>
            <w:tcW w:type="dxa" w:w="3816"/>
          </w:tcPr>
          <w:p>
            <w:pPr>
              <w:spacing w:after="80" w:before="60"/>
            </w:pPr>
            <w:r>
              <w:rPr>
                <w:sz w:val="19"/>
              </w:rPr>
              <w:t>An agreed share of investment or project profits allocated under specified conditions.</w:t>
            </w:r>
          </w:p>
        </w:tc>
        <w:tc>
          <w:tcPr>
            <w:tcW w:type="dxa" w:w="4248"/>
          </w:tcPr>
          <w:p>
            <w:pPr>
              <w:spacing w:after="80" w:before="60"/>
            </w:pPr>
            <w:r>
              <w:rPr>
                <w:sz w:val="19"/>
              </w:rPr>
              <w:t>Requires the complete distribution mechanism; not ordinary ownership by default.</w:t>
            </w:r>
          </w:p>
        </w:tc>
      </w:tr>
      <w:tr>
        <w:trPr>
          <w:cantSplit/>
        </w:trPr>
        <w:tc>
          <w:tcPr>
            <w:tcW w:type="dxa" w:w="2160"/>
          </w:tcPr>
          <w:p>
            <w:pPr>
              <w:spacing w:after="80" w:before="60"/>
            </w:pPr>
            <w:r>
              <w:rPr>
                <w:sz w:val="19"/>
              </w:rPr>
              <w:t>Token or synthetic ownership right</w:t>
            </w:r>
          </w:p>
        </w:tc>
        <w:tc>
          <w:tcPr>
            <w:tcW w:type="dxa" w:w="3816"/>
          </w:tcPr>
          <w:p>
            <w:pPr>
              <w:spacing w:after="80" w:before="60"/>
            </w:pPr>
            <w:r>
              <w:rPr>
                <w:sz w:val="19"/>
              </w:rPr>
              <w:t>A digital or contractual right that may represent economic, voting or other interests.</w:t>
            </w:r>
          </w:p>
        </w:tc>
        <w:tc>
          <w:tcPr>
            <w:tcW w:type="dxa" w:w="4248"/>
          </w:tcPr>
          <w:p>
            <w:pPr>
              <w:spacing w:after="80" w:before="60"/>
            </w:pPr>
            <w:r>
              <w:rPr>
                <w:sz w:val="19"/>
              </w:rPr>
              <w:t>Record exactly what it grants; a token does not automatically create issuer shares.</w:t>
            </w:r>
          </w:p>
        </w:tc>
      </w:tr>
      <w:tr>
        <w:trPr>
          <w:cantSplit/>
        </w:trPr>
        <w:tc>
          <w:tcPr>
            <w:tcW w:type="dxa" w:w="2160"/>
          </w:tcPr>
          <w:p>
            <w:pPr>
              <w:spacing w:after="80" w:before="60"/>
            </w:pPr>
            <w:r>
              <w:rPr>
                <w:sz w:val="19"/>
              </w:rPr>
              <w:t>Currency and FX rate</w:t>
            </w:r>
          </w:p>
        </w:tc>
        <w:tc>
          <w:tcPr>
            <w:tcW w:type="dxa" w:w="3816"/>
          </w:tcPr>
          <w:p>
            <w:pPr>
              <w:spacing w:after="80" w:before="60"/>
            </w:pPr>
            <w:r>
              <w:rPr>
                <w:sz w:val="19"/>
              </w:rPr>
              <w:t>The denomination of an amount and the exchange rate used between currencies.</w:t>
            </w:r>
          </w:p>
        </w:tc>
        <w:tc>
          <w:tcPr>
            <w:tcW w:type="dxa" w:w="4248"/>
          </w:tcPr>
          <w:p>
            <w:pPr>
              <w:spacing w:after="80" w:before="60"/>
            </w:pPr>
            <w:r>
              <w:rPr>
                <w:sz w:val="19"/>
              </w:rPr>
              <w:t>Keep original amounts and a dated source/method for each reporting conversion.</w:t>
            </w:r>
          </w:p>
        </w:tc>
      </w:tr>
      <w:tr>
        <w:trPr>
          <w:cantSplit/>
        </w:trPr>
        <w:tc>
          <w:tcPr>
            <w:tcW w:type="dxa" w:w="2160"/>
          </w:tcPr>
          <w:p>
            <w:pPr>
              <w:spacing w:after="80" w:before="60"/>
            </w:pPr>
            <w:r>
              <w:rPr>
                <w:sz w:val="19"/>
              </w:rPr>
              <w:t>Convertible preference instrument</w:t>
            </w:r>
          </w:p>
        </w:tc>
        <w:tc>
          <w:tcPr>
            <w:tcW w:type="dxa" w:w="3816"/>
          </w:tcPr>
          <w:p>
            <w:pPr>
              <w:spacing w:after="80" w:before="60"/>
            </w:pPr>
            <w:r>
              <w:rPr>
                <w:sz w:val="19"/>
              </w:rPr>
              <w:t>A jurisdiction- or agreement-specific preferred instrument with conversion or repayment features.</w:t>
            </w:r>
          </w:p>
        </w:tc>
        <w:tc>
          <w:tcPr>
            <w:tcW w:type="dxa" w:w="4248"/>
          </w:tcPr>
          <w:p>
            <w:pPr>
              <w:spacing w:after="80" w:before="60"/>
            </w:pPr>
            <w:r>
              <w:rPr>
                <w:sz w:val="19"/>
              </w:rPr>
              <w:t>Use a reviewed feature set; familiar labels across countries may hide different mechanics.</w:t>
            </w:r>
          </w:p>
        </w:tc>
      </w:tr>
      <w:tr>
        <w:trPr>
          <w:cantSplit/>
        </w:trPr>
        <w:tc>
          <w:tcPr>
            <w:tcW w:type="dxa" w:w="2160"/>
          </w:tcPr>
          <w:p>
            <w:pPr>
              <w:spacing w:after="80" w:before="60"/>
            </w:pPr>
            <w:r>
              <w:rPr>
                <w:sz w:val="19"/>
              </w:rPr>
              <w:t>Liquidation or dissolution</w:t>
            </w:r>
          </w:p>
        </w:tc>
        <w:tc>
          <w:tcPr>
            <w:tcW w:type="dxa" w:w="3816"/>
          </w:tcPr>
          <w:p>
            <w:pPr>
              <w:spacing w:after="80" w:before="60"/>
            </w:pPr>
            <w:r>
              <w:rPr>
                <w:sz w:val="19"/>
              </w:rPr>
              <w:t>A winding-up or specified termination event under applicable rules.</w:t>
            </w:r>
          </w:p>
        </w:tc>
        <w:tc>
          <w:tcPr>
            <w:tcW w:type="dxa" w:w="4248"/>
          </w:tcPr>
          <w:p>
            <w:pPr>
              <w:spacing w:after="80" w:before="60"/>
            </w:pPr>
            <w:r>
              <w:rPr>
                <w:sz w:val="19"/>
              </w:rPr>
              <w:t>Apply event-specific creditor, instrument and equity rules rather than assuming ordinary sale treatment.</w:t>
            </w:r>
          </w:p>
        </w:tc>
      </w:tr>
      <w:tr>
        <w:trPr>
          <w:cantSplit/>
        </w:trPr>
        <w:tc>
          <w:tcPr>
            <w:tcW w:type="dxa" w:w="2160"/>
          </w:tcPr>
          <w:p>
            <w:pPr>
              <w:spacing w:after="80" w:before="60"/>
            </w:pPr>
            <w:r>
              <w:rPr>
                <w:sz w:val="19"/>
              </w:rPr>
              <w:t>Custom term or feature combination</w:t>
            </w:r>
          </w:p>
        </w:tc>
        <w:tc>
          <w:tcPr>
            <w:tcW w:type="dxa" w:w="3816"/>
          </w:tcPr>
          <w:p>
            <w:pPr>
              <w:spacing w:after="80" w:before="60"/>
            </w:pPr>
            <w:r>
              <w:rPr>
                <w:sz w:val="19"/>
              </w:rPr>
              <w:t>A contractual rule or interaction outside a reviewed supported calculation set.</w:t>
            </w:r>
          </w:p>
        </w:tc>
        <w:tc>
          <w:tcPr>
            <w:tcW w:type="dxa" w:w="4248"/>
          </w:tcPr>
          <w:p>
            <w:pPr>
              <w:spacing w:after="80" w:before="60"/>
            </w:pPr>
            <w:r>
              <w:rPr>
                <w:sz w:val="19"/>
              </w:rPr>
              <w:t>Preserve and explain it; block affected final numbers until a tested module exists.</w:t>
            </w:r>
          </w:p>
        </w:tc>
      </w:tr>
    </w:tbl>
    <w:p>
      <w:pPr>
        <w:spacing w:after="0"/>
      </w:pPr>
    </w:p>
    <w:p>
      <w:r>
        <w:br w:type="page"/>
      </w:r>
    </w:p>
    <w:p>
      <w:pPr>
        <w:pStyle w:val="Heading1"/>
      </w:pPr>
      <w:r>
        <w:t>T21 Data calculation and agent terminology</w:t>
      </w:r>
    </w:p>
    <w:tbl>
      <w:tblPr>
        <w:tblW w:type="auto" w:w="0"/>
        <w:tblLayout w:type="fixed"/>
        <w:tblLook w:firstColumn="1" w:firstRow="1" w:lastColumn="0" w:lastRow="0" w:noHBand="0" w:noVBand="1" w:val="04A0"/>
      </w:tblPr>
      <w:tblGrid>
        <w:gridCol w:w="2160"/>
        <w:gridCol w:w="3816"/>
        <w:gridCol w:w="4248"/>
      </w:tblGrid>
      <w:tr>
        <w:trPr>
          <w:cantSplit/>
          <w:tblHeader/>
        </w:trPr>
        <w:tc>
          <w:tcPr>
            <w:tcW w:type="dxa" w:w="2160"/>
            <w:shd w:fill="EAF0EC"/>
          </w:tcPr>
          <w:p>
            <w:pPr>
              <w:spacing w:after="80" w:before="60"/>
            </w:pPr>
            <w:r>
              <w:rPr>
                <w:b/>
                <w:sz w:val="19"/>
              </w:rPr>
              <w:t>Term</w:t>
            </w:r>
          </w:p>
        </w:tc>
        <w:tc>
          <w:tcPr>
            <w:tcW w:type="dxa" w:w="3816"/>
            <w:shd w:fill="EAF0EC"/>
          </w:tcPr>
          <w:p>
            <w:pPr>
              <w:spacing w:after="80" w:before="60"/>
            </w:pPr>
            <w:r>
              <w:rPr>
                <w:b/>
                <w:sz w:val="19"/>
              </w:rPr>
              <w:t>What it means</w:t>
            </w:r>
          </w:p>
        </w:tc>
        <w:tc>
          <w:tcPr>
            <w:tcW w:type="dxa" w:w="4248"/>
            <w:shd w:fill="EAF0EC"/>
          </w:tcPr>
          <w:p>
            <w:pPr>
              <w:spacing w:after="80" w:before="60"/>
            </w:pPr>
            <w:r>
              <w:rPr>
                <w:b/>
                <w:sz w:val="19"/>
              </w:rPr>
              <w:t>Where used in calculations or checks</w:t>
            </w:r>
          </w:p>
        </w:tc>
      </w:tr>
      <w:tr>
        <w:trPr>
          <w:cantSplit/>
        </w:trPr>
        <w:tc>
          <w:tcPr>
            <w:tcW w:type="dxa" w:w="2160"/>
          </w:tcPr>
          <w:p>
            <w:pPr>
              <w:spacing w:after="80" w:before="60"/>
            </w:pPr>
            <w:r>
              <w:rPr>
                <w:sz w:val="19"/>
              </w:rPr>
              <w:t>Source evidence and provenance</w:t>
            </w:r>
          </w:p>
        </w:tc>
        <w:tc>
          <w:tcPr>
            <w:tcW w:type="dxa" w:w="3816"/>
          </w:tcPr>
          <w:p>
            <w:pPr>
              <w:spacing w:after="80" w:before="60"/>
            </w:pPr>
            <w:r>
              <w:rPr>
                <w:sz w:val="19"/>
              </w:rPr>
              <w:t>The source and trace of how a field entered the application, including cells and confirmations.</w:t>
            </w:r>
          </w:p>
        </w:tc>
        <w:tc>
          <w:tcPr>
            <w:tcW w:type="dxa" w:w="4248"/>
          </w:tcPr>
          <w:p>
            <w:pPr>
              <w:spacing w:after="80" w:before="60"/>
            </w:pPr>
            <w:r>
              <w:rPr>
                <w:sz w:val="19"/>
              </w:rPr>
              <w:t>Supports selecting trustworthy inputs; a generated explanation is not source evidence.</w:t>
            </w:r>
          </w:p>
        </w:tc>
      </w:tr>
      <w:tr>
        <w:trPr>
          <w:cantSplit/>
        </w:trPr>
        <w:tc>
          <w:tcPr>
            <w:tcW w:type="dxa" w:w="2160"/>
          </w:tcPr>
          <w:p>
            <w:pPr>
              <w:spacing w:after="80" w:before="60"/>
            </w:pPr>
            <w:r>
              <w:rPr>
                <w:sz w:val="19"/>
              </w:rPr>
              <w:t>Assertion or fact record</w:t>
            </w:r>
          </w:p>
        </w:tc>
        <w:tc>
          <w:tcPr>
            <w:tcW w:type="dxa" w:w="3816"/>
          </w:tcPr>
          <w:p>
            <w:pPr>
              <w:spacing w:after="80" w:before="60"/>
            </w:pPr>
            <w:r>
              <w:rPr>
                <w:sz w:val="19"/>
              </w:rPr>
              <w:t>A value or explicit missing state attached to one record and field with dates and source.</w:t>
            </w:r>
          </w:p>
        </w:tc>
        <w:tc>
          <w:tcPr>
            <w:tcW w:type="dxa" w:w="4248"/>
          </w:tcPr>
          <w:p>
            <w:pPr>
              <w:spacing w:after="80" w:before="60"/>
            </w:pPr>
            <w:r>
              <w:rPr>
                <w:sz w:val="19"/>
              </w:rPr>
              <w:t>OCE selects these inputs before calling coded financial services.</w:t>
            </w:r>
          </w:p>
        </w:tc>
      </w:tr>
      <w:tr>
        <w:trPr>
          <w:cantSplit/>
        </w:trPr>
        <w:tc>
          <w:tcPr>
            <w:tcW w:type="dxa" w:w="2160"/>
          </w:tcPr>
          <w:p>
            <w:pPr>
              <w:spacing w:after="80" w:before="60"/>
            </w:pPr>
            <w:r>
              <w:rPr>
                <w:sz w:val="19"/>
              </w:rPr>
              <w:t>As of and known at</w:t>
            </w:r>
          </w:p>
        </w:tc>
        <w:tc>
          <w:tcPr>
            <w:tcW w:type="dxa" w:w="3816"/>
          </w:tcPr>
          <w:p>
            <w:pPr>
              <w:spacing w:after="80" w:before="60"/>
            </w:pPr>
            <w:r>
              <w:rPr>
                <w:sz w:val="19"/>
              </w:rPr>
              <w:t>The business date being analyzed and the cutoff for information available to the application.</w:t>
            </w:r>
          </w:p>
        </w:tc>
        <w:tc>
          <w:tcPr>
            <w:tcW w:type="dxa" w:w="4248"/>
          </w:tcPr>
          <w:p>
            <w:pPr>
              <w:spacing w:after="80" w:before="60"/>
            </w:pPr>
            <w:r>
              <w:rPr>
                <w:sz w:val="19"/>
              </w:rPr>
              <w:t>Allows reproducible historical calculations after later corrections.</w:t>
            </w:r>
          </w:p>
        </w:tc>
      </w:tr>
      <w:tr>
        <w:trPr>
          <w:cantSplit/>
        </w:trPr>
        <w:tc>
          <w:tcPr>
            <w:tcW w:type="dxa" w:w="2160"/>
          </w:tcPr>
          <w:p>
            <w:pPr>
              <w:spacing w:after="80" w:before="60"/>
            </w:pPr>
            <w:r>
              <w:rPr>
                <w:sz w:val="19"/>
              </w:rPr>
              <w:t>Snapshot and graph revision</w:t>
            </w:r>
          </w:p>
        </w:tc>
        <w:tc>
          <w:tcPr>
            <w:tcW w:type="dxa" w:w="3816"/>
          </w:tcPr>
          <w:p>
            <w:pPr>
              <w:spacing w:after="80" w:before="60"/>
            </w:pPr>
            <w:r>
              <w:rPr>
                <w:sz w:val="19"/>
              </w:rPr>
              <w:t>A saved backend state and an identifiable complete linked view of approved records.</w:t>
            </w:r>
          </w:p>
        </w:tc>
        <w:tc>
          <w:tcPr>
            <w:tcW w:type="dxa" w:w="4248"/>
          </w:tcPr>
          <w:p>
            <w:pPr>
              <w:spacing w:after="80" w:before="60"/>
            </w:pPr>
            <w:r>
              <w:rPr>
                <w:sz w:val="19"/>
              </w:rPr>
              <w:t>Require compatible versions; mixed states can create duplicate or inconsistent calculations.</w:t>
            </w:r>
          </w:p>
        </w:tc>
      </w:tr>
      <w:tr>
        <w:trPr>
          <w:cantSplit/>
        </w:trPr>
        <w:tc>
          <w:tcPr>
            <w:tcW w:type="dxa" w:w="2160"/>
          </w:tcPr>
          <w:p>
            <w:pPr>
              <w:spacing w:after="80" w:before="60"/>
            </w:pPr>
            <w:r>
              <w:rPr>
                <w:sz w:val="19"/>
              </w:rPr>
              <w:t>Scenario and assumption</w:t>
            </w:r>
          </w:p>
        </w:tc>
        <w:tc>
          <w:tcPr>
            <w:tcW w:type="dxa" w:w="3816"/>
          </w:tcPr>
          <w:p>
            <w:pPr>
              <w:spacing w:after="80" w:before="60"/>
            </w:pPr>
            <w:r>
              <w:rPr>
                <w:sz w:val="19"/>
              </w:rPr>
              <w:t>A saved what-if case and its explicitly hypothetical inputs.</w:t>
            </w:r>
          </w:p>
        </w:tc>
        <w:tc>
          <w:tcPr>
            <w:tcW w:type="dxa" w:w="4248"/>
          </w:tcPr>
          <w:p>
            <w:pPr>
              <w:spacing w:after="80" w:before="60"/>
            </w:pPr>
            <w:r>
              <w:rPr>
                <w:sz w:val="19"/>
              </w:rPr>
              <w:t>Calculates alternatives without changing official holdings or claiming assumptions are actual facts.</w:t>
            </w:r>
          </w:p>
        </w:tc>
      </w:tr>
      <w:tr>
        <w:trPr>
          <w:cantSplit/>
        </w:trPr>
        <w:tc>
          <w:tcPr>
            <w:tcW w:type="dxa" w:w="2160"/>
          </w:tcPr>
          <w:p>
            <w:pPr>
              <w:spacing w:after="80" w:before="60"/>
            </w:pPr>
            <w:r>
              <w:rPr>
                <w:sz w:val="19"/>
              </w:rPr>
              <w:t>Ontology and knowledge graph</w:t>
            </w:r>
          </w:p>
        </w:tc>
        <w:tc>
          <w:tcPr>
            <w:tcW w:type="dxa" w:w="3816"/>
          </w:tcPr>
          <w:p>
            <w:pPr>
              <w:spacing w:after="80" w:before="60"/>
            </w:pPr>
            <w:r>
              <w:rPr>
                <w:sz w:val="19"/>
              </w:rPr>
              <w:t>The shared dictionary of concepts and relationships, and the company records linked using it.</w:t>
            </w:r>
          </w:p>
        </w:tc>
        <w:tc>
          <w:tcPr>
            <w:tcW w:type="dxa" w:w="4248"/>
          </w:tcPr>
          <w:p>
            <w:pPr>
              <w:spacing w:after="80" w:before="60"/>
            </w:pPr>
            <w:r>
              <w:rPr>
                <w:sz w:val="19"/>
              </w:rPr>
              <w:t>Helps select correct instruments, rights and evidence; it does not itself calculate money.</w:t>
            </w:r>
          </w:p>
        </w:tc>
      </w:tr>
      <w:tr>
        <w:trPr>
          <w:cantSplit/>
        </w:trPr>
        <w:tc>
          <w:tcPr>
            <w:tcW w:type="dxa" w:w="2160"/>
          </w:tcPr>
          <w:p>
            <w:pPr>
              <w:spacing w:after="80" w:before="60"/>
            </w:pPr>
            <w:r>
              <w:rPr>
                <w:sz w:val="19"/>
              </w:rPr>
              <w:t>Context package</w:t>
            </w:r>
          </w:p>
        </w:tc>
        <w:tc>
          <w:tcPr>
            <w:tcW w:type="dxa" w:w="3816"/>
          </w:tcPr>
          <w:p>
            <w:pPr>
              <w:spacing w:after="80" w:before="60"/>
            </w:pPr>
            <w:r>
              <w:rPr>
                <w:sz w:val="19"/>
              </w:rPr>
              <w:t>The task-specific bundle of selected facts, evidence, gaps, permissions and versions returned by OCE.</w:t>
            </w:r>
          </w:p>
        </w:tc>
        <w:tc>
          <w:tcPr>
            <w:tcW w:type="dxa" w:w="4248"/>
          </w:tcPr>
          <w:p>
            <w:pPr>
              <w:spacing w:after="80" w:before="60"/>
            </w:pPr>
            <w:r>
              <w:rPr>
                <w:sz w:val="19"/>
              </w:rPr>
              <w:t>Controls which inputs a conversion, round, vote or waterfall calculation may use.</w:t>
            </w:r>
          </w:p>
        </w:tc>
      </w:tr>
      <w:tr>
        <w:trPr>
          <w:cantSplit/>
        </w:trPr>
        <w:tc>
          <w:tcPr>
            <w:tcW w:type="dxa" w:w="2160"/>
          </w:tcPr>
          <w:p>
            <w:pPr>
              <w:spacing w:after="80" w:before="60"/>
            </w:pPr>
            <w:r>
              <w:rPr>
                <w:sz w:val="19"/>
              </w:rPr>
              <w:t>Unknown conflict and unsupported</w:t>
            </w:r>
          </w:p>
        </w:tc>
        <w:tc>
          <w:tcPr>
            <w:tcW w:type="dxa" w:w="3816"/>
          </w:tcPr>
          <w:p>
            <w:pPr>
              <w:spacing w:after="80" w:before="60"/>
            </w:pPr>
            <w:r>
              <w:rPr>
                <w:sz w:val="19"/>
              </w:rPr>
              <w:t>A missing fact, contradictory relevant facts, and absent reviewed calculation support respectively.</w:t>
            </w:r>
          </w:p>
        </w:tc>
        <w:tc>
          <w:tcPr>
            <w:tcW w:type="dxa" w:w="4248"/>
          </w:tcPr>
          <w:p>
            <w:pPr>
              <w:spacing w:after="80" w:before="60"/>
            </w:pPr>
            <w:r>
              <w:rPr>
                <w:sz w:val="19"/>
              </w:rPr>
              <w:t>Return distinct statuses; none permits a guessed financial result.</w:t>
            </w:r>
          </w:p>
        </w:tc>
      </w:tr>
      <w:tr>
        <w:trPr>
          <w:cantSplit/>
        </w:trPr>
        <w:tc>
          <w:tcPr>
            <w:tcW w:type="dxa" w:w="2160"/>
          </w:tcPr>
          <w:p>
            <w:pPr>
              <w:spacing w:after="80" w:before="60"/>
            </w:pPr>
            <w:r>
              <w:rPr>
                <w:sz w:val="19"/>
              </w:rPr>
              <w:t>Exact precision and rounding policy</w:t>
            </w:r>
          </w:p>
        </w:tc>
        <w:tc>
          <w:tcPr>
            <w:tcW w:type="dxa" w:w="3816"/>
          </w:tcPr>
          <w:p>
            <w:pPr>
              <w:spacing w:after="80" w:before="60"/>
            </w:pPr>
            <w:r>
              <w:rPr>
                <w:sz w:val="19"/>
              </w:rPr>
              <w:t>How numbers are represented internally and converted to booked/displayed units.</w:t>
            </w:r>
          </w:p>
        </w:tc>
        <w:tc>
          <w:tcPr>
            <w:tcW w:type="dxa" w:w="4248"/>
          </w:tcPr>
          <w:p>
            <w:pPr>
              <w:spacing w:after="80" w:before="60"/>
            </w:pPr>
            <w:r>
              <w:rPr>
                <w:sz w:val="19"/>
              </w:rPr>
              <w:t>Avoid binary floats for financial amounts; record rounding stage, mode and residual treatment.</w:t>
            </w:r>
          </w:p>
        </w:tc>
      </w:tr>
      <w:tr>
        <w:trPr>
          <w:cantSplit/>
        </w:trPr>
        <w:tc>
          <w:tcPr>
            <w:tcW w:type="dxa" w:w="2160"/>
          </w:tcPr>
          <w:p>
            <w:pPr>
              <w:spacing w:after="80" w:before="60"/>
            </w:pPr>
            <w:r>
              <w:rPr>
                <w:sz w:val="19"/>
              </w:rPr>
              <w:t>Sensitivity analysis</w:t>
            </w:r>
          </w:p>
        </w:tc>
        <w:tc>
          <w:tcPr>
            <w:tcW w:type="dxa" w:w="3816"/>
          </w:tcPr>
          <w:p>
            <w:pPr>
              <w:spacing w:after="80" w:before="60"/>
            </w:pPr>
            <w:r>
              <w:rPr>
                <w:sz w:val="19"/>
              </w:rPr>
              <w:t>Repeated calculations while changing specified inputs such as sale value or round valuation.</w:t>
            </w:r>
          </w:p>
        </w:tc>
        <w:tc>
          <w:tcPr>
            <w:tcW w:type="dxa" w:w="4248"/>
          </w:tcPr>
          <w:p>
            <w:pPr>
              <w:spacing w:after="80" w:before="60"/>
            </w:pPr>
            <w:r>
              <w:rPr>
                <w:sz w:val="19"/>
              </w:rPr>
              <w:t>Compare outputs on consistent bases and label assumptions; all numbers come from coded services.</w:t>
            </w:r>
          </w:p>
        </w:tc>
      </w:tr>
      <w:tr>
        <w:trPr>
          <w:cantSplit/>
        </w:trPr>
        <w:tc>
          <w:tcPr>
            <w:tcW w:type="dxa" w:w="2160"/>
          </w:tcPr>
          <w:p>
            <w:pPr>
              <w:spacing w:after="80" w:before="60"/>
            </w:pPr>
            <w:r>
              <w:rPr>
                <w:sz w:val="19"/>
              </w:rPr>
              <w:t>Dependency and stale result</w:t>
            </w:r>
          </w:p>
        </w:tc>
        <w:tc>
          <w:tcPr>
            <w:tcW w:type="dxa" w:w="3816"/>
          </w:tcPr>
          <w:p>
            <w:pPr>
              <w:spacing w:after="80" w:before="60"/>
            </w:pPr>
            <w:r>
              <w:rPr>
                <w:sz w:val="19"/>
              </w:rPr>
              <w:t>A record of what a result relied on and a result needing review after relevant changes.</w:t>
            </w:r>
          </w:p>
        </w:tc>
        <w:tc>
          <w:tcPr>
            <w:tcW w:type="dxa" w:w="4248"/>
          </w:tcPr>
          <w:p>
            <w:pPr>
              <w:spacing w:after="80" w:before="60"/>
            </w:pPr>
            <w:r>
              <w:rPr>
                <w:sz w:val="19"/>
              </w:rPr>
              <w:t>Triggers context refresh and recalculation; does not automatically reverse a legal event.</w:t>
            </w:r>
          </w:p>
        </w:tc>
      </w:tr>
      <w:tr>
        <w:trPr>
          <w:cantSplit/>
        </w:trPr>
        <w:tc>
          <w:tcPr>
            <w:tcW w:type="dxa" w:w="2160"/>
          </w:tcPr>
          <w:p>
            <w:pPr>
              <w:spacing w:after="80" w:before="60"/>
            </w:pPr>
            <w:r>
              <w:rPr>
                <w:sz w:val="19"/>
              </w:rPr>
              <w:t>Idempotency or retry safety</w:t>
            </w:r>
          </w:p>
        </w:tc>
        <w:tc>
          <w:tcPr>
            <w:tcW w:type="dxa" w:w="3816"/>
          </w:tcPr>
          <w:p>
            <w:pPr>
              <w:spacing w:after="80" w:before="60"/>
            </w:pPr>
            <w:r>
              <w:rPr>
                <w:sz w:val="19"/>
              </w:rPr>
              <w:t>Recognizing a repeated action so it is applied only once.</w:t>
            </w:r>
          </w:p>
        </w:tc>
        <w:tc>
          <w:tcPr>
            <w:tcW w:type="dxa" w:w="4248"/>
          </w:tcPr>
          <w:p>
            <w:pPr>
              <w:spacing w:after="80" w:before="60"/>
            </w:pPr>
            <w:r>
              <w:rPr>
                <w:sz w:val="19"/>
              </w:rPr>
              <w:t>A repeated approved conversion request returns the original result instead of issuing shares twice.</w:t>
            </w:r>
          </w:p>
        </w:tc>
      </w:tr>
    </w:tbl>
    <w:p>
      <w:pPr>
        <w:spacing w:after="0"/>
      </w:pPr>
    </w:p>
    <w:p>
      <w:r>
        <w:br w:type="page"/>
      </w:r>
    </w:p>
    <w:p>
      <w:pPr>
        <w:pStyle w:val="Heading2"/>
      </w:pPr>
      <w:r>
        <w:t>1 What we are building</w:t>
      </w:r>
    </w:p>
    <w:p>
      <w:r>
        <w:t>A founder uploads a spreadsheet showing the company owners and investments. Our system turns it into an organized cap table, identifies missing or inconsistent information, asks useful questions, and proposes corrections. It also helps the founder understand a new investment offer and how money would be distributed if the company were sold.</w:t>
      </w:r>
    </w:p>
    <w:tbl>
      <w:tblPr>
        <w:tblW w:type="auto" w:w="0"/>
        <w:tblLayout w:type="fixed"/>
        <w:tblLook w:firstColumn="1" w:firstRow="1" w:lastColumn="0" w:lastRow="0" w:noHBand="0" w:noVBand="1" w:val="04A0"/>
      </w:tblPr>
      <w:tblGrid>
        <w:gridCol w:w="2736"/>
        <w:gridCol w:w="7488"/>
      </w:tblGrid>
      <w:tr>
        <w:trPr>
          <w:cantSplit/>
          <w:tblHeader/>
        </w:trPr>
        <w:tc>
          <w:tcPr>
            <w:tcW w:type="dxa" w:w="2736"/>
            <w:shd w:fill="EAF0EC"/>
          </w:tcPr>
          <w:p>
            <w:pPr>
              <w:spacing w:after="80" w:before="60"/>
            </w:pPr>
            <w:r>
              <w:rPr>
                <w:b/>
                <w:sz w:val="19"/>
              </w:rPr>
              <w:t>Agent</w:t>
            </w:r>
          </w:p>
        </w:tc>
        <w:tc>
          <w:tcPr>
            <w:tcW w:type="dxa" w:w="7488"/>
            <w:shd w:fill="EAF0EC"/>
          </w:tcPr>
          <w:p>
            <w:pPr>
              <w:spacing w:after="80" w:before="60"/>
            </w:pPr>
            <w:r>
              <w:rPr>
                <w:b/>
                <w:sz w:val="19"/>
              </w:rPr>
              <w:t>What a user asks it to do</w:t>
            </w:r>
          </w:p>
        </w:tc>
      </w:tr>
      <w:tr>
        <w:trPr>
          <w:cantSplit/>
        </w:trPr>
        <w:tc>
          <w:tcPr>
            <w:tcW w:type="dxa" w:w="2736"/>
          </w:tcPr>
          <w:p>
            <w:pPr>
              <w:spacing w:after="80" w:before="60"/>
            </w:pPr>
            <w:r>
              <w:rPr>
                <w:sz w:val="19"/>
              </w:rPr>
              <w:t>Cap Table Management</w:t>
            </w:r>
          </w:p>
        </w:tc>
        <w:tc>
          <w:tcPr>
            <w:tcW w:type="dxa" w:w="7488"/>
          </w:tcPr>
          <w:p>
            <w:pPr>
              <w:spacing w:after="80" w:before="60"/>
            </w:pPr>
            <w:r>
              <w:rPr>
                <w:sz w:val="19"/>
              </w:rPr>
              <w:t>Build my cap table from this spreadsheet. Find problems. Help me record investments and changes correctly.</w:t>
            </w:r>
          </w:p>
        </w:tc>
      </w:tr>
      <w:tr>
        <w:trPr>
          <w:cantSplit/>
        </w:trPr>
        <w:tc>
          <w:tcPr>
            <w:tcW w:type="dxa" w:w="2736"/>
          </w:tcPr>
          <w:p>
            <w:pPr>
              <w:spacing w:after="80" w:before="60"/>
            </w:pPr>
            <w:r>
              <w:rPr>
                <w:sz w:val="19"/>
              </w:rPr>
              <w:t>Term Sheet Analysis</w:t>
            </w:r>
          </w:p>
        </w:tc>
        <w:tc>
          <w:tcPr>
            <w:tcW w:type="dxa" w:w="7488"/>
          </w:tcPr>
          <w:p>
            <w:pPr>
              <w:spacing w:after="80" w:before="60"/>
            </w:pPr>
            <w:r>
              <w:rPr>
                <w:sz w:val="19"/>
              </w:rPr>
              <w:t>Explain these proposed investment terms and show how they change ownership and investor rights.</w:t>
            </w:r>
          </w:p>
        </w:tc>
      </w:tr>
      <w:tr>
        <w:trPr>
          <w:cantSplit/>
        </w:trPr>
        <w:tc>
          <w:tcPr>
            <w:tcW w:type="dxa" w:w="2736"/>
          </w:tcPr>
          <w:p>
            <w:pPr>
              <w:spacing w:after="80" w:before="60"/>
            </w:pPr>
            <w:r>
              <w:rPr>
                <w:sz w:val="19"/>
              </w:rPr>
              <w:t>Waterfall Analysis</w:t>
            </w:r>
          </w:p>
        </w:tc>
        <w:tc>
          <w:tcPr>
            <w:tcW w:type="dxa" w:w="7488"/>
          </w:tcPr>
          <w:p>
            <w:pPr>
              <w:spacing w:after="80" w:before="60"/>
            </w:pPr>
            <w:r>
              <w:rPr>
                <w:sz w:val="19"/>
              </w:rPr>
              <w:t>If we sell the company for this amount, show how much each investor and founder receives.</w:t>
            </w:r>
          </w:p>
        </w:tc>
      </w:tr>
    </w:tbl>
    <w:p>
      <w:pPr>
        <w:spacing w:after="0"/>
      </w:pPr>
    </w:p>
    <w:p>
      <w:r>
        <w:t>The agent conducts the conversation. OCE (Open Context Engine) supplies the relevant facts, meanings and evidence. Backend code calculates the numbers and records approved changes. The language model must not calculate shares, interest, ownership percentages or payouts.</w:t>
      </w:r>
    </w:p>
    <w:p>
      <w:pPr>
        <w:pStyle w:val="Heading2"/>
      </w:pPr>
      <w:r>
        <w:t>How to read this guide</w:t>
      </w:r>
    </w:p>
    <w:p>
      <w:r>
        <w:t>Chapters 2 to 7 explain cap tables using one fictional company. Chapters 8 to 17 show how to store its records and build OCE. Chapters 18 to 22 explain the agent workflows. Chapters 23 to 26 give build tasks, acceptance tests and a glossary. Each new technical term is explained before it is used.</w:t>
      </w:r>
    </w:p>
    <w:p>
      <w:r>
        <w:t>Phase 1 starts with spreadsheets exported from Carta or maintained by the user. Contract extraction from PDFs is excluded. Missing terms must be entered and confirmed. This guide accompanies the detailed backend financial specification; it teaches the domain and explains the OCE and agent implementation in a practical order.</w:t>
      </w:r>
    </w:p>
    <w:p>
      <w:r>
        <w:br w:type="page"/>
      </w:r>
    </w:p>
    <w:p>
      <w:pPr>
        <w:pStyle w:val="Heading1"/>
      </w:pPr>
      <w:r>
        <w:t>2 A cap table explained from the beginning</w:t>
      </w:r>
    </w:p>
    <w:p>
      <w:r>
        <w:t>A capitalization table, usually called a cap table, records who owns the company and which investments or awards may become ownership later. A share is one unit of ownership. The number of shares alone does not tell us the rights attached to them.</w:t>
      </w:r>
    </w:p>
    <w:p>
      <w:pPr>
        <w:pStyle w:val="Heading2"/>
      </w:pPr>
      <w:r>
        <w:t>Start with a company containing only founder shares</w:t>
      </w:r>
    </w:p>
    <w:tbl>
      <w:tblPr>
        <w:tblW w:type="auto" w:w="0"/>
        <w:tblLayout w:type="fixed"/>
        <w:tblLook w:firstColumn="1" w:firstRow="1" w:lastColumn="0" w:lastRow="0" w:noHBand="0" w:noVBand="1" w:val="04A0"/>
      </w:tblPr>
      <w:tblGrid>
        <w:gridCol w:w="3600"/>
        <w:gridCol w:w="3312"/>
        <w:gridCol w:w="3312"/>
      </w:tblGrid>
      <w:tr>
        <w:trPr>
          <w:cantSplit/>
          <w:tblHeader/>
        </w:trPr>
        <w:tc>
          <w:tcPr>
            <w:tcW w:type="dxa" w:w="3600"/>
            <w:shd w:fill="EAF0EC"/>
          </w:tcPr>
          <w:p>
            <w:pPr>
              <w:spacing w:after="80" w:before="60"/>
            </w:pPr>
            <w:r>
              <w:rPr>
                <w:b/>
                <w:sz w:val="19"/>
              </w:rPr>
              <w:t>Person</w:t>
            </w:r>
          </w:p>
        </w:tc>
        <w:tc>
          <w:tcPr>
            <w:tcW w:type="dxa" w:w="3312"/>
            <w:shd w:fill="EAF0EC"/>
          </w:tcPr>
          <w:p>
            <w:pPr>
              <w:spacing w:after="80" w:before="60"/>
            </w:pPr>
            <w:r>
              <w:rPr>
                <w:b/>
                <w:sz w:val="19"/>
              </w:rPr>
              <w:t>Shares owned</w:t>
            </w:r>
          </w:p>
        </w:tc>
        <w:tc>
          <w:tcPr>
            <w:tcW w:type="dxa" w:w="3312"/>
            <w:shd w:fill="EAF0EC"/>
          </w:tcPr>
          <w:p>
            <w:pPr>
              <w:spacing w:after="80" w:before="60"/>
            </w:pPr>
            <w:r>
              <w:rPr>
                <w:b/>
                <w:sz w:val="19"/>
              </w:rPr>
              <w:t>Ownership</w:t>
            </w:r>
          </w:p>
        </w:tc>
      </w:tr>
      <w:tr>
        <w:trPr>
          <w:cantSplit/>
        </w:trPr>
        <w:tc>
          <w:tcPr>
            <w:tcW w:type="dxa" w:w="3600"/>
          </w:tcPr>
          <w:p>
            <w:pPr>
              <w:spacing w:after="80" w:before="60"/>
            </w:pPr>
            <w:r>
              <w:rPr>
                <w:sz w:val="19"/>
              </w:rPr>
              <w:t>Maya</w:t>
            </w:r>
          </w:p>
        </w:tc>
        <w:tc>
          <w:tcPr>
            <w:tcW w:type="dxa" w:w="3312"/>
          </w:tcPr>
          <w:p>
            <w:pPr>
              <w:spacing w:after="80" w:before="60"/>
            </w:pPr>
            <w:r>
              <w:rPr>
                <w:sz w:val="19"/>
              </w:rPr>
              <w:t>6,000,000</w:t>
            </w:r>
          </w:p>
        </w:tc>
        <w:tc>
          <w:tcPr>
            <w:tcW w:type="dxa" w:w="3312"/>
          </w:tcPr>
          <w:p>
            <w:pPr>
              <w:spacing w:after="80" w:before="60"/>
            </w:pPr>
            <w:r>
              <w:rPr>
                <w:sz w:val="19"/>
              </w:rPr>
              <w:t>75%</w:t>
            </w:r>
          </w:p>
        </w:tc>
      </w:tr>
      <w:tr>
        <w:trPr>
          <w:cantSplit/>
        </w:trPr>
        <w:tc>
          <w:tcPr>
            <w:tcW w:type="dxa" w:w="3600"/>
          </w:tcPr>
          <w:p>
            <w:pPr>
              <w:spacing w:after="80" w:before="60"/>
            </w:pPr>
            <w:r>
              <w:rPr>
                <w:sz w:val="19"/>
              </w:rPr>
              <w:t>Dev</w:t>
            </w:r>
          </w:p>
        </w:tc>
        <w:tc>
          <w:tcPr>
            <w:tcW w:type="dxa" w:w="3312"/>
          </w:tcPr>
          <w:p>
            <w:pPr>
              <w:spacing w:after="80" w:before="60"/>
            </w:pPr>
            <w:r>
              <w:rPr>
                <w:sz w:val="19"/>
              </w:rPr>
              <w:t>2,000,000</w:t>
            </w:r>
          </w:p>
        </w:tc>
        <w:tc>
          <w:tcPr>
            <w:tcW w:type="dxa" w:w="3312"/>
          </w:tcPr>
          <w:p>
            <w:pPr>
              <w:spacing w:after="80" w:before="60"/>
            </w:pPr>
            <w:r>
              <w:rPr>
                <w:sz w:val="19"/>
              </w:rPr>
              <w:t>25%</w:t>
            </w:r>
          </w:p>
        </w:tc>
      </w:tr>
      <w:tr>
        <w:trPr>
          <w:cantSplit/>
        </w:trPr>
        <w:tc>
          <w:tcPr>
            <w:tcW w:type="dxa" w:w="3600"/>
          </w:tcPr>
          <w:p>
            <w:pPr>
              <w:spacing w:after="80" w:before="60"/>
            </w:pPr>
            <w:r>
              <w:rPr>
                <w:sz w:val="19"/>
              </w:rPr>
              <w:t>Total</w:t>
            </w:r>
          </w:p>
        </w:tc>
        <w:tc>
          <w:tcPr>
            <w:tcW w:type="dxa" w:w="3312"/>
          </w:tcPr>
          <w:p>
            <w:pPr>
              <w:spacing w:after="80" w:before="60"/>
            </w:pPr>
            <w:r>
              <w:rPr>
                <w:sz w:val="19"/>
              </w:rPr>
              <w:t>8,000,000</w:t>
            </w:r>
          </w:p>
        </w:tc>
        <w:tc>
          <w:tcPr>
            <w:tcW w:type="dxa" w:w="3312"/>
          </w:tcPr>
          <w:p>
            <w:pPr>
              <w:spacing w:after="80" w:before="60"/>
            </w:pPr>
            <w:r>
              <w:rPr>
                <w:sz w:val="19"/>
              </w:rPr>
              <w:t>100%</w:t>
            </w:r>
          </w:p>
        </w:tc>
      </w:tr>
    </w:tbl>
    <w:p>
      <w:pPr>
        <w:spacing w:after="0"/>
      </w:pPr>
    </w:p>
    <w:p>
      <w:r>
        <w:t>Maya owns 6 million of the 8 million shares, so her ownership is 6 million divided by 8 million, or 75%. A coded ownership service performs this calculation. The agent explains the returned result.</w:t>
      </w:r>
    </w:p>
    <w:p>
      <w:pPr>
        <w:pStyle w:val="Heading2"/>
      </w:pPr>
      <w:r>
        <w:t>Why the denominator matters</w:t>
      </w:r>
    </w:p>
    <w:p>
      <w:r>
        <w:t>The denominator is the total we divide by. In this example, an issued-share view counts shares already issued and held by shareholders. If the company buys back shares, record them separately and explicitly distinguish issued shares from outstanding shares in the report definition. A fully diluted view can include additional shares from options, warrants, conversions and reserved employee shares, depending on the selected definition. We must always name the view and list what it includes. There is no safe universal meaning for an unlabeled ownership percentage.</w:t>
      </w:r>
    </w:p>
    <w:p>
      <w:r>
        <w:t>If this company also had 2 million employee options included in a chosen fully diluted view, that view would contain 10 million shares or potential shares. Maya would have 60% under that view, while still owning 75% of the currently issued shares. These are different questions, not necessarily inconsistent answers.</w:t>
      </w:r>
    </w:p>
    <w:p>
      <w:pPr>
        <w:pStyle w:val="Heading2"/>
      </w:pPr>
      <w:r>
        <w:t>What the developer must implement</w:t>
      </w:r>
    </w:p>
    <w:p>
      <w:r>
        <w:t>Store the underlying shares and potential-share instruments separately. Implement a service that accepts an explicit ownership definition, selects the permitted items and calculates the result. Return the definition, included items and total along with every percentage. Do not store one editable ownership percentage as the primary financial record.</w:t>
      </w:r>
    </w:p>
    <w:p>
      <w:r>
        <w:br w:type="page"/>
      </w:r>
    </w:p>
    <w:p>
      <w:pPr>
        <w:pStyle w:val="Heading1"/>
      </w:pPr>
      <w:r>
        <w:t>3 The investments and awards we must recognize</w:t>
      </w:r>
    </w:p>
    <w:p>
      <w:r>
        <w:t>An instrument is a formal investment or award with its own terms. One investor may own several instruments. One spreadsheet row may describe an instrument, an investor total or a historical transaction, so rows are not automatically interchangeable with records.</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Type</w:t>
            </w:r>
          </w:p>
        </w:tc>
        <w:tc>
          <w:tcPr>
            <w:tcW w:type="dxa" w:w="3888"/>
            <w:shd w:fill="EAF0EC"/>
          </w:tcPr>
          <w:p>
            <w:pPr>
              <w:spacing w:after="80" w:before="60"/>
            </w:pPr>
            <w:r>
              <w:rPr>
                <w:b/>
                <w:sz w:val="19"/>
              </w:rPr>
              <w:t>Plain meaning</w:t>
            </w:r>
          </w:p>
        </w:tc>
        <w:tc>
          <w:tcPr>
            <w:tcW w:type="dxa" w:w="4104"/>
            <w:shd w:fill="EAF0EC"/>
          </w:tcPr>
          <w:p>
            <w:pPr>
              <w:spacing w:after="80" w:before="60"/>
            </w:pPr>
            <w:r>
              <w:rPr>
                <w:b/>
                <w:sz w:val="19"/>
              </w:rPr>
              <w:t>What must stay separate</w:t>
            </w:r>
          </w:p>
        </w:tc>
      </w:tr>
      <w:tr>
        <w:trPr>
          <w:cantSplit/>
        </w:trPr>
        <w:tc>
          <w:tcPr>
            <w:tcW w:type="dxa" w:w="2232"/>
          </w:tcPr>
          <w:p>
            <w:pPr>
              <w:spacing w:after="80" w:before="60"/>
            </w:pPr>
            <w:r>
              <w:rPr>
                <w:sz w:val="19"/>
              </w:rPr>
              <w:t>Common shares</w:t>
            </w:r>
          </w:p>
        </w:tc>
        <w:tc>
          <w:tcPr>
            <w:tcW w:type="dxa" w:w="3888"/>
          </w:tcPr>
          <w:p>
            <w:pPr>
              <w:spacing w:after="80" w:before="60"/>
            </w:pPr>
            <w:r>
              <w:rPr>
                <w:sz w:val="19"/>
              </w:rPr>
              <w:t>Shares often held by founders and employees.</w:t>
            </w:r>
          </w:p>
        </w:tc>
        <w:tc>
          <w:tcPr>
            <w:tcW w:type="dxa" w:w="4104"/>
          </w:tcPr>
          <w:p>
            <w:pPr>
              <w:spacing w:after="80" w:before="60"/>
            </w:pPr>
            <w:r>
              <w:rPr>
                <w:sz w:val="19"/>
              </w:rPr>
              <w:t>Share count, class, legal holder and applicable rights.</w:t>
            </w:r>
          </w:p>
        </w:tc>
      </w:tr>
      <w:tr>
        <w:trPr>
          <w:cantSplit/>
        </w:trPr>
        <w:tc>
          <w:tcPr>
            <w:tcW w:type="dxa" w:w="2232"/>
          </w:tcPr>
          <w:p>
            <w:pPr>
              <w:spacing w:after="80" w:before="60"/>
            </w:pPr>
            <w:r>
              <w:rPr>
                <w:sz w:val="19"/>
              </w:rPr>
              <w:t>Preferred shares</w:t>
            </w:r>
          </w:p>
        </w:tc>
        <w:tc>
          <w:tcPr>
            <w:tcW w:type="dxa" w:w="3888"/>
          </w:tcPr>
          <w:p>
            <w:pPr>
              <w:spacing w:after="80" w:before="60"/>
            </w:pPr>
            <w:r>
              <w:rPr>
                <w:sz w:val="19"/>
              </w:rPr>
              <w:t>Shares with specified investor rights, such as payment priority on a sale.</w:t>
            </w:r>
          </w:p>
        </w:tc>
        <w:tc>
          <w:tcPr>
            <w:tcW w:type="dxa" w:w="4104"/>
          </w:tcPr>
          <w:p>
            <w:pPr>
              <w:spacing w:after="80" w:before="60"/>
            </w:pPr>
            <w:r>
              <w:rPr>
                <w:sz w:val="19"/>
              </w:rPr>
              <w:t>Ownership quantity and each economic or voting right.</w:t>
            </w:r>
          </w:p>
        </w:tc>
      </w:tr>
      <w:tr>
        <w:trPr>
          <w:cantSplit/>
        </w:trPr>
        <w:tc>
          <w:tcPr>
            <w:tcW w:type="dxa" w:w="2232"/>
          </w:tcPr>
          <w:p>
            <w:pPr>
              <w:spacing w:after="80" w:before="60"/>
            </w:pPr>
            <w:r>
              <w:rPr>
                <w:sz w:val="19"/>
              </w:rPr>
              <w:t>SAFE</w:t>
            </w:r>
          </w:p>
        </w:tc>
        <w:tc>
          <w:tcPr>
            <w:tcW w:type="dxa" w:w="3888"/>
          </w:tcPr>
          <w:p>
            <w:pPr>
              <w:spacing w:after="80" w:before="60"/>
            </w:pPr>
            <w:r>
              <w:rPr>
                <w:sz w:val="19"/>
              </w:rPr>
              <w:t>Simple Agreement for Future Equity. An agreement providing future equity or other event-specific treatment under its terms.</w:t>
            </w:r>
          </w:p>
        </w:tc>
        <w:tc>
          <w:tcPr>
            <w:tcW w:type="dxa" w:w="4104"/>
          </w:tcPr>
          <w:p>
            <w:pPr>
              <w:spacing w:after="80" w:before="60"/>
            </w:pPr>
            <w:r>
              <w:rPr>
                <w:sz w:val="19"/>
              </w:rPr>
              <w:t>Investment amount, conversion rules and any resulting shares. A SAFE amount is not a share count.</w:t>
            </w:r>
          </w:p>
        </w:tc>
      </w:tr>
      <w:tr>
        <w:trPr>
          <w:cantSplit/>
        </w:trPr>
        <w:tc>
          <w:tcPr>
            <w:tcW w:type="dxa" w:w="2232"/>
          </w:tcPr>
          <w:p>
            <w:pPr>
              <w:spacing w:after="80" w:before="60"/>
            </w:pPr>
            <w:r>
              <w:rPr>
                <w:sz w:val="19"/>
              </w:rPr>
              <w:t>Convertible note</w:t>
            </w:r>
          </w:p>
        </w:tc>
        <w:tc>
          <w:tcPr>
            <w:tcW w:type="dxa" w:w="3888"/>
          </w:tcPr>
          <w:p>
            <w:pPr>
              <w:spacing w:after="80" w:before="60"/>
            </w:pPr>
            <w:r>
              <w:rPr>
                <w:sz w:val="19"/>
              </w:rPr>
              <w:t>Debt that may convert into equity under defined conditions.</w:t>
            </w:r>
          </w:p>
        </w:tc>
        <w:tc>
          <w:tcPr>
            <w:tcW w:type="dxa" w:w="4104"/>
          </w:tcPr>
          <w:p>
            <w:pPr>
              <w:spacing w:after="80" w:before="60"/>
            </w:pPr>
            <w:r>
              <w:rPr>
                <w:sz w:val="19"/>
              </w:rPr>
              <w:t>Principal, accrued interest, repayments and conversion treatment.</w:t>
            </w:r>
          </w:p>
        </w:tc>
      </w:tr>
      <w:tr>
        <w:trPr>
          <w:cantSplit/>
        </w:trPr>
        <w:tc>
          <w:tcPr>
            <w:tcW w:type="dxa" w:w="2232"/>
          </w:tcPr>
          <w:p>
            <w:pPr>
              <w:spacing w:after="80" w:before="60"/>
            </w:pPr>
            <w:r>
              <w:rPr>
                <w:sz w:val="19"/>
              </w:rPr>
              <w:t>Option or warrant</w:t>
            </w:r>
          </w:p>
        </w:tc>
        <w:tc>
          <w:tcPr>
            <w:tcW w:type="dxa" w:w="3888"/>
          </w:tcPr>
          <w:p>
            <w:pPr>
              <w:spacing w:after="80" w:before="60"/>
            </w:pPr>
            <w:r>
              <w:rPr>
                <w:sz w:val="19"/>
              </w:rPr>
              <w:t>A right to obtain shares under specified conditions, often by paying an exercise price.</w:t>
            </w:r>
          </w:p>
        </w:tc>
        <w:tc>
          <w:tcPr>
            <w:tcW w:type="dxa" w:w="4104"/>
          </w:tcPr>
          <w:p>
            <w:pPr>
              <w:spacing w:after="80" w:before="60"/>
            </w:pPr>
            <w:r>
              <w:rPr>
                <w:sz w:val="19"/>
              </w:rPr>
              <w:t>The right itself, its exercisable amount and shares actually issued.</w:t>
            </w:r>
          </w:p>
        </w:tc>
      </w:tr>
      <w:tr>
        <w:trPr>
          <w:cantSplit/>
        </w:trPr>
        <w:tc>
          <w:tcPr>
            <w:tcW w:type="dxa" w:w="2232"/>
          </w:tcPr>
          <w:p>
            <w:pPr>
              <w:spacing w:after="80" w:before="60"/>
            </w:pPr>
            <w:r>
              <w:rPr>
                <w:sz w:val="19"/>
              </w:rPr>
              <w:t>RSU or restricted stock</w:t>
            </w:r>
          </w:p>
        </w:tc>
        <w:tc>
          <w:tcPr>
            <w:tcW w:type="dxa" w:w="3888"/>
          </w:tcPr>
          <w:p>
            <w:pPr>
              <w:spacing w:after="80" w:before="60"/>
            </w:pPr>
            <w:r>
              <w:rPr>
                <w:sz w:val="19"/>
              </w:rPr>
              <w:t>An employee award. An RSU (restricted stock unit) promises settlement; restricted stock may already be issued subject to conditions.</w:t>
            </w:r>
          </w:p>
        </w:tc>
        <w:tc>
          <w:tcPr>
            <w:tcW w:type="dxa" w:w="4104"/>
          </w:tcPr>
          <w:p>
            <w:pPr>
              <w:spacing w:after="80" w:before="60"/>
            </w:pPr>
            <w:r>
              <w:rPr>
                <w:sz w:val="19"/>
              </w:rPr>
              <w:t>Grant, vesting and settlement or repurchase conditions.</w:t>
            </w:r>
          </w:p>
        </w:tc>
      </w:tr>
      <w:tr>
        <w:trPr>
          <w:cantSplit/>
        </w:trPr>
        <w:tc>
          <w:tcPr>
            <w:tcW w:type="dxa" w:w="2232"/>
          </w:tcPr>
          <w:p>
            <w:pPr>
              <w:spacing w:after="80" w:before="60"/>
            </w:pPr>
            <w:r>
              <w:rPr>
                <w:sz w:val="19"/>
              </w:rPr>
              <w:t>Custom instrument</w:t>
            </w:r>
          </w:p>
        </w:tc>
        <w:tc>
          <w:tcPr>
            <w:tcW w:type="dxa" w:w="3888"/>
          </w:tcPr>
          <w:p>
            <w:pPr>
              <w:spacing w:after="80" w:before="60"/>
            </w:pPr>
            <w:r>
              <w:rPr>
                <w:sz w:val="19"/>
              </w:rPr>
              <w:t>An agreement with unusual features.</w:t>
            </w:r>
          </w:p>
        </w:tc>
        <w:tc>
          <w:tcPr>
            <w:tcW w:type="dxa" w:w="4104"/>
          </w:tcPr>
          <w:p>
            <w:pPr>
              <w:spacing w:after="80" w:before="60"/>
            </w:pPr>
            <w:r>
              <w:rPr>
                <w:sz w:val="19"/>
              </w:rPr>
              <w:t>Original terms and explicit limits on what the software can calculate.</w:t>
            </w:r>
          </w:p>
        </w:tc>
      </w:tr>
    </w:tbl>
    <w:p>
      <w:pPr>
        <w:spacing w:after="0"/>
      </w:pPr>
    </w:p>
    <w:p>
      <w:pPr>
        <w:pStyle w:val="Heading2"/>
      </w:pPr>
      <w:r>
        <w:t>Terms developers will encounter immediately</w:t>
      </w:r>
    </w:p>
    <w:p>
      <w:r>
        <w:t>Principal is the original unpaid amount of a loan, subject to its recorded changes. Interest is an additional amount calculated under the loan terms. Vesting means earning an award over time or after conditions are met. Exercising an option means using the right to obtain shares; it is a separate event from vesting.</w:t>
      </w:r>
    </w:p>
    <w:p>
      <w:r>
        <w:t>Record the exact type and confirmed terms. Do not classify an ambiguous row labeled SAFE Note as debt or as a SAFE without asking. Do not silently treat an unusual agreement as the nearest familiar instrument.</w:t>
      </w:r>
    </w:p>
    <w:p>
      <w:r>
        <w:br w:type="page"/>
      </w:r>
    </w:p>
    <w:p>
      <w:pPr>
        <w:pStyle w:val="Heading1"/>
      </w:pPr>
      <w:r>
        <w:t>4 The information a share count cannot tell us</w:t>
      </w:r>
    </w:p>
    <w:p>
      <w:r>
        <w:t>Two holders with the same number of shares can receive different payments or have different voting power. A useful cap table therefore needs rights, dates and a history of changes in addition to share counts.</w:t>
      </w:r>
    </w:p>
    <w:tbl>
      <w:tblPr>
        <w:tblW w:type="auto" w:w="0"/>
        <w:tblLayout w:type="fixed"/>
        <w:tblLook w:firstColumn="1" w:firstRow="1" w:lastColumn="0" w:lastRow="0" w:noHBand="0" w:noVBand="1" w:val="04A0"/>
      </w:tblPr>
      <w:tblGrid>
        <w:gridCol w:w="2736"/>
        <w:gridCol w:w="7488"/>
      </w:tblGrid>
      <w:tr>
        <w:trPr>
          <w:cantSplit/>
          <w:tblHeader/>
        </w:trPr>
        <w:tc>
          <w:tcPr>
            <w:tcW w:type="dxa" w:w="2736"/>
            <w:shd w:fill="EAF0EC"/>
          </w:tcPr>
          <w:p>
            <w:pPr>
              <w:spacing w:after="80" w:before="60"/>
            </w:pPr>
            <w:r>
              <w:rPr>
                <w:b/>
                <w:sz w:val="19"/>
              </w:rPr>
              <w:t>Information</w:t>
            </w:r>
          </w:p>
        </w:tc>
        <w:tc>
          <w:tcPr>
            <w:tcW w:type="dxa" w:w="7488"/>
            <w:shd w:fill="EAF0EC"/>
          </w:tcPr>
          <w:p>
            <w:pPr>
              <w:spacing w:after="80" w:before="60"/>
            </w:pPr>
            <w:r>
              <w:rPr>
                <w:b/>
                <w:sz w:val="19"/>
              </w:rPr>
              <w:t>Meaning and an example</w:t>
            </w:r>
          </w:p>
        </w:tc>
      </w:tr>
      <w:tr>
        <w:trPr>
          <w:cantSplit/>
        </w:trPr>
        <w:tc>
          <w:tcPr>
            <w:tcW w:type="dxa" w:w="2736"/>
          </w:tcPr>
          <w:p>
            <w:pPr>
              <w:spacing w:after="80" w:before="60"/>
            </w:pPr>
            <w:r>
              <w:rPr>
                <w:sz w:val="19"/>
              </w:rPr>
              <w:t>Share class</w:t>
            </w:r>
          </w:p>
        </w:tc>
        <w:tc>
          <w:tcPr>
            <w:tcW w:type="dxa" w:w="7488"/>
          </w:tcPr>
          <w:p>
            <w:pPr>
              <w:spacing w:after="80" w:before="60"/>
            </w:pPr>
            <w:r>
              <w:rPr>
                <w:sz w:val="19"/>
              </w:rPr>
              <w:t>A group of shares with a defined set of rights. Common and Series A Preferred are different classes.</w:t>
            </w:r>
          </w:p>
        </w:tc>
      </w:tr>
      <w:tr>
        <w:trPr>
          <w:cantSplit/>
        </w:trPr>
        <w:tc>
          <w:tcPr>
            <w:tcW w:type="dxa" w:w="2736"/>
          </w:tcPr>
          <w:p>
            <w:pPr>
              <w:spacing w:after="80" w:before="60"/>
            </w:pPr>
            <w:r>
              <w:rPr>
                <w:sz w:val="19"/>
              </w:rPr>
              <w:t>Liquidation preference</w:t>
            </w:r>
          </w:p>
        </w:tc>
        <w:tc>
          <w:tcPr>
            <w:tcW w:type="dxa" w:w="7488"/>
          </w:tcPr>
          <w:p>
            <w:pPr>
              <w:spacing w:after="80" w:before="60"/>
            </w:pPr>
            <w:r>
              <w:rPr>
                <w:sz w:val="19"/>
              </w:rPr>
              <w:t>A rule giving specified shares a payment entitlement or priority when a qualifying sale or liquidation occurs. The exact event and amount depend on the terms.</w:t>
            </w:r>
          </w:p>
        </w:tc>
      </w:tr>
      <w:tr>
        <w:trPr>
          <w:cantSplit/>
        </w:trPr>
        <w:tc>
          <w:tcPr>
            <w:tcW w:type="dxa" w:w="2736"/>
          </w:tcPr>
          <w:p>
            <w:pPr>
              <w:spacing w:after="80" w:before="60"/>
            </w:pPr>
            <w:r>
              <w:rPr>
                <w:sz w:val="19"/>
              </w:rPr>
              <w:t>Participation</w:t>
            </w:r>
          </w:p>
        </w:tc>
        <w:tc>
          <w:tcPr>
            <w:tcW w:type="dxa" w:w="7488"/>
          </w:tcPr>
          <w:p>
            <w:pPr>
              <w:spacing w:after="80" w:before="60"/>
            </w:pPr>
            <w:r>
              <w:rPr>
                <w:sz w:val="19"/>
              </w:rPr>
              <w:t>Whether preferred shares also share in remaining sale proceeds after a preference payment. A participation cap can limit that entitlement.</w:t>
            </w:r>
          </w:p>
        </w:tc>
      </w:tr>
      <w:tr>
        <w:trPr>
          <w:cantSplit/>
        </w:trPr>
        <w:tc>
          <w:tcPr>
            <w:tcW w:type="dxa" w:w="2736"/>
          </w:tcPr>
          <w:p>
            <w:pPr>
              <w:spacing w:after="80" w:before="60"/>
            </w:pPr>
            <w:r>
              <w:rPr>
                <w:sz w:val="19"/>
              </w:rPr>
              <w:t>Voting rights</w:t>
            </w:r>
          </w:p>
        </w:tc>
        <w:tc>
          <w:tcPr>
            <w:tcW w:type="dxa" w:w="7488"/>
          </w:tcPr>
          <w:p>
            <w:pPr>
              <w:spacing w:after="80" w:before="60"/>
            </w:pPr>
            <w:r>
              <w:rPr>
                <w:sz w:val="19"/>
              </w:rPr>
              <w:t>Who can vote, how many votes each share carries and whether a class must approve separately. Economic ownership does not establish voting power.</w:t>
            </w:r>
          </w:p>
        </w:tc>
      </w:tr>
      <w:tr>
        <w:trPr>
          <w:cantSplit/>
        </w:trPr>
        <w:tc>
          <w:tcPr>
            <w:tcW w:type="dxa" w:w="2736"/>
          </w:tcPr>
          <w:p>
            <w:pPr>
              <w:spacing w:after="80" w:before="60"/>
            </w:pPr>
            <w:r>
              <w:rPr>
                <w:sz w:val="19"/>
              </w:rPr>
              <w:t>Investment dates</w:t>
            </w:r>
          </w:p>
        </w:tc>
        <w:tc>
          <w:tcPr>
            <w:tcW w:type="dxa" w:w="7488"/>
          </w:tcPr>
          <w:p>
            <w:pPr>
              <w:spacing w:after="80" w:before="60"/>
            </w:pPr>
            <w:r>
              <w:rPr>
                <w:sz w:val="19"/>
              </w:rPr>
              <w:t>Signing, funding and conversion dates can differ. A funding date may determine whether an investment existed before a financing closed.</w:t>
            </w:r>
          </w:p>
        </w:tc>
      </w:tr>
      <w:tr>
        <w:trPr>
          <w:cantSplit/>
        </w:trPr>
        <w:tc>
          <w:tcPr>
            <w:tcW w:type="dxa" w:w="2736"/>
          </w:tcPr>
          <w:p>
            <w:pPr>
              <w:spacing w:after="80" w:before="60"/>
            </w:pPr>
            <w:r>
              <w:rPr>
                <w:sz w:val="19"/>
              </w:rPr>
              <w:t>Amendment</w:t>
            </w:r>
          </w:p>
        </w:tc>
        <w:tc>
          <w:tcPr>
            <w:tcW w:type="dxa" w:w="7488"/>
          </w:tcPr>
          <w:p>
            <w:pPr>
              <w:spacing w:after="80" w:before="60"/>
            </w:pPr>
            <w:r>
              <w:rPr>
                <w:sz w:val="19"/>
              </w:rPr>
              <w:t>An approved change to earlier terms. We need its scope, effective date and evidence of authority.</w:t>
            </w:r>
          </w:p>
        </w:tc>
      </w:tr>
      <w:tr>
        <w:trPr>
          <w:cantSplit/>
        </w:trPr>
        <w:tc>
          <w:tcPr>
            <w:tcW w:type="dxa" w:w="2736"/>
          </w:tcPr>
          <w:p>
            <w:pPr>
              <w:spacing w:after="80" w:before="60"/>
            </w:pPr>
            <w:r>
              <w:rPr>
                <w:sz w:val="19"/>
              </w:rPr>
              <w:t>Election or consent</w:t>
            </w:r>
          </w:p>
        </w:tc>
        <w:tc>
          <w:tcPr>
            <w:tcW w:type="dxa" w:w="7488"/>
          </w:tcPr>
          <w:p>
            <w:pPr>
              <w:spacing w:after="80" w:before="60"/>
            </w:pPr>
            <w:r>
              <w:rPr>
                <w:sz w:val="19"/>
              </w:rPr>
              <w:t>A holder choice or approval required by the agreement. A software recommendation does not establish that this choice was made.</w:t>
            </w:r>
          </w:p>
        </w:tc>
      </w:tr>
    </w:tbl>
    <w:p>
      <w:pPr>
        <w:spacing w:after="0"/>
      </w:pPr>
    </w:p>
    <w:p>
      <w:pPr>
        <w:pStyle w:val="Heading2"/>
      </w:pPr>
      <w:r>
        <w:t>A simple example of a missing fact</w:t>
      </w:r>
    </w:p>
    <w:p>
      <w:r>
        <w:t>A spreadsheet lists a SAFE and also shows that Series A has closed. This does not prove the SAFE should have converted. It may have been issued after that close, been subject to different trigger conditions, or already converted into shares recorded elsewhere. The agent must investigate these possibilities.</w:t>
      </w:r>
    </w:p>
    <w:p>
      <w:pPr>
        <w:pStyle w:val="Heading2"/>
      </w:pPr>
      <w:r>
        <w:t>Developer requirement</w:t>
      </w:r>
    </w:p>
    <w:p>
      <w:r>
        <w:t>For every material field, store the meaning, value or missing state, source, confirmation status and relevant dates. A missing interest rate must not become zero. Missing voting rights must not become one vote per share. The system must say which questions it cannot yet answer.</w:t>
      </w:r>
    </w:p>
    <w:p>
      <w:r>
        <w:br w:type="page"/>
      </w:r>
    </w:p>
    <w:p>
      <w:pPr>
        <w:pStyle w:val="Heading1"/>
      </w:pPr>
      <w:r>
        <w:t>5 The company example and its uploaded spreadsheet</w:t>
      </w:r>
    </w:p>
    <w:p>
      <w:r>
        <w:t>The rest of the guide follows a fictional company called Bluebird. Maya and Dev founded it. Lina invested through a SAFE. Atlas later invested in a Series A round. On 10 July 2026, the founder uploads this simplified spreadsheet.</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Uploaded row</w:t>
            </w:r>
          </w:p>
        </w:tc>
        <w:tc>
          <w:tcPr>
            <w:tcW w:type="dxa" w:w="3888"/>
            <w:shd w:fill="EAF0EC"/>
          </w:tcPr>
          <w:p>
            <w:pPr>
              <w:spacing w:after="80" w:before="60"/>
            </w:pPr>
            <w:r>
              <w:rPr>
                <w:b/>
                <w:sz w:val="19"/>
              </w:rPr>
              <w:t>Instrument</w:t>
            </w:r>
          </w:p>
        </w:tc>
        <w:tc>
          <w:tcPr>
            <w:tcW w:type="dxa" w:w="4104"/>
            <w:shd w:fill="EAF0EC"/>
          </w:tcPr>
          <w:p>
            <w:pPr>
              <w:spacing w:after="80" w:before="60"/>
            </w:pPr>
            <w:r>
              <w:rPr>
                <w:b/>
                <w:sz w:val="19"/>
              </w:rPr>
              <w:t>Recorded amount</w:t>
            </w:r>
          </w:p>
        </w:tc>
      </w:tr>
      <w:tr>
        <w:trPr>
          <w:cantSplit/>
        </w:trPr>
        <w:tc>
          <w:tcPr>
            <w:tcW w:type="dxa" w:w="2232"/>
          </w:tcPr>
          <w:p>
            <w:pPr>
              <w:spacing w:after="80" w:before="60"/>
            </w:pPr>
            <w:r>
              <w:rPr>
                <w:sz w:val="19"/>
              </w:rPr>
              <w:t>Maya</w:t>
            </w:r>
          </w:p>
        </w:tc>
        <w:tc>
          <w:tcPr>
            <w:tcW w:type="dxa" w:w="3888"/>
          </w:tcPr>
          <w:p>
            <w:pPr>
              <w:spacing w:after="80" w:before="60"/>
            </w:pPr>
            <w:r>
              <w:rPr>
                <w:sz w:val="19"/>
              </w:rPr>
              <w:t>Common shares</w:t>
            </w:r>
          </w:p>
        </w:tc>
        <w:tc>
          <w:tcPr>
            <w:tcW w:type="dxa" w:w="4104"/>
          </w:tcPr>
          <w:p>
            <w:pPr>
              <w:spacing w:after="80" w:before="60"/>
            </w:pPr>
            <w:r>
              <w:rPr>
                <w:sz w:val="19"/>
              </w:rPr>
              <w:t>6,000,000 shares</w:t>
            </w:r>
          </w:p>
        </w:tc>
      </w:tr>
      <w:tr>
        <w:trPr>
          <w:cantSplit/>
        </w:trPr>
        <w:tc>
          <w:tcPr>
            <w:tcW w:type="dxa" w:w="2232"/>
          </w:tcPr>
          <w:p>
            <w:pPr>
              <w:spacing w:after="80" w:before="60"/>
            </w:pPr>
            <w:r>
              <w:rPr>
                <w:sz w:val="19"/>
              </w:rPr>
              <w:t>Dev</w:t>
            </w:r>
          </w:p>
        </w:tc>
        <w:tc>
          <w:tcPr>
            <w:tcW w:type="dxa" w:w="3888"/>
          </w:tcPr>
          <w:p>
            <w:pPr>
              <w:spacing w:after="80" w:before="60"/>
            </w:pPr>
            <w:r>
              <w:rPr>
                <w:sz w:val="19"/>
              </w:rPr>
              <w:t>Common shares</w:t>
            </w:r>
          </w:p>
        </w:tc>
        <w:tc>
          <w:tcPr>
            <w:tcW w:type="dxa" w:w="4104"/>
          </w:tcPr>
          <w:p>
            <w:pPr>
              <w:spacing w:after="80" w:before="60"/>
            </w:pPr>
            <w:r>
              <w:rPr>
                <w:sz w:val="19"/>
              </w:rPr>
              <w:t>2,000,000 shares</w:t>
            </w:r>
          </w:p>
        </w:tc>
      </w:tr>
      <w:tr>
        <w:trPr>
          <w:cantSplit/>
        </w:trPr>
        <w:tc>
          <w:tcPr>
            <w:tcW w:type="dxa" w:w="2232"/>
          </w:tcPr>
          <w:p>
            <w:pPr>
              <w:spacing w:after="80" w:before="60"/>
            </w:pPr>
            <w:r>
              <w:rPr>
                <w:sz w:val="19"/>
              </w:rPr>
              <w:t>Lina</w:t>
            </w:r>
          </w:p>
        </w:tc>
        <w:tc>
          <w:tcPr>
            <w:tcW w:type="dxa" w:w="3888"/>
          </w:tcPr>
          <w:p>
            <w:pPr>
              <w:spacing w:after="80" w:before="60"/>
            </w:pPr>
            <w:r>
              <w:rPr>
                <w:sz w:val="19"/>
              </w:rPr>
              <w:t>SAFE S1</w:t>
            </w:r>
          </w:p>
        </w:tc>
        <w:tc>
          <w:tcPr>
            <w:tcW w:type="dxa" w:w="4104"/>
          </w:tcPr>
          <w:p>
            <w:pPr>
              <w:spacing w:after="80" w:before="60"/>
            </w:pPr>
            <w:r>
              <w:rPr>
                <w:sz w:val="19"/>
              </w:rPr>
              <w:t>Investment amount $1,000,000; funding date blank</w:t>
            </w:r>
          </w:p>
        </w:tc>
      </w:tr>
      <w:tr>
        <w:trPr>
          <w:cantSplit/>
        </w:trPr>
        <w:tc>
          <w:tcPr>
            <w:tcW w:type="dxa" w:w="2232"/>
          </w:tcPr>
          <w:p>
            <w:pPr>
              <w:spacing w:after="80" w:before="60"/>
            </w:pPr>
            <w:r>
              <w:rPr>
                <w:sz w:val="19"/>
              </w:rPr>
              <w:t>Atlas</w:t>
            </w:r>
          </w:p>
        </w:tc>
        <w:tc>
          <w:tcPr>
            <w:tcW w:type="dxa" w:w="3888"/>
          </w:tcPr>
          <w:p>
            <w:pPr>
              <w:spacing w:after="80" w:before="60"/>
            </w:pPr>
            <w:r>
              <w:rPr>
                <w:sz w:val="19"/>
              </w:rPr>
              <w:t>Series A Preferred</w:t>
            </w:r>
          </w:p>
        </w:tc>
        <w:tc>
          <w:tcPr>
            <w:tcW w:type="dxa" w:w="4104"/>
          </w:tcPr>
          <w:p>
            <w:pPr>
              <w:spacing w:after="80" w:before="60"/>
            </w:pPr>
            <w:r>
              <w:rPr>
                <w:sz w:val="19"/>
              </w:rPr>
              <w:t>3,000,000 shares</w:t>
            </w:r>
          </w:p>
        </w:tc>
      </w:tr>
    </w:tbl>
    <w:p>
      <w:pPr>
        <w:spacing w:after="0"/>
      </w:pPr>
    </w:p>
    <w:p>
      <w:r>
        <w:t>A second worksheet says Series A closed on 30 June. The founder confirms that Atlas paid $3 million at $1 per share. The sheet still lists Lina's SAFE as outstanding. At this stage there are 11 million recorded issued shares; Lina's investment is a separate agreement, not another 1 million shares.</w:t>
      </w:r>
    </w:p>
    <w:p>
      <w:pPr>
        <w:pStyle w:val="Heading2"/>
      </w:pPr>
      <w:r>
        <w:t>The first useful agent response</w:t>
      </w:r>
    </w:p>
    <w:p>
      <w:r>
        <w:t>“Lina's SAFE is still listed after the Series A close. I need its funding date and conversion terms before deciding whether a conversion is missing. I also need to check whether Lina's resulting shares were already recorded elsewhere.”</w:t>
      </w:r>
    </w:p>
    <w:p>
      <w:pPr>
        <w:pStyle w:val="Heading2"/>
      </w:pPr>
      <w:r>
        <w:t>The teaching assumptions</w:t>
      </w:r>
    </w:p>
    <w:p>
      <w:r>
        <w:t>After review, the founder confirms that Lina funded on 5 March; this particular agreement converts at the next qualifying equity financing at a fixed $1 per share; the June round qualifies; no interest applies; and no conversion has been recorded and no resulting shares for Lina are listed. These are explicit fictional agreement terms for this example. A fixed $1 price is not a general SAFE formula.</w:t>
      </w:r>
    </w:p>
    <w:p>
      <w:r>
        <w:t>The founder also confirms the exact target share class and its rights. The software must not copy Atlas's rights onto Lina merely because both invest around the same round. We use matching rights in the next chapters only because they have been explicitly confirmed.</w:t>
      </w:r>
    </w:p>
    <w:p>
      <w:r>
        <w:br w:type="page"/>
      </w:r>
    </w:p>
    <w:p>
      <w:pPr>
        <w:pStyle w:val="Heading1"/>
      </w:pPr>
      <w:r>
        <w:t>6 The conversion and financing worked through</w:t>
      </w:r>
    </w:p>
    <w:p>
      <w:pPr>
        <w:pStyle w:val="Heading2"/>
      </w:pPr>
      <w:r>
        <w:t>First convert Lina's investment under the confirmed example terms</w:t>
      </w:r>
    </w:p>
    <w:p>
      <w:r>
        <w:t>The coded conversion service divides the $1 million eligible investment by the confirmed $1 conversion price. It returns 1 million new preferred shares. Recording this conversion closes the converted SAFE balance and creates a linked record of the resulting shares. It must not leave both the full SAFE and the resulting shares counted as outstanding investment rights.</w:t>
      </w:r>
    </w:p>
    <w:p>
      <w:pPr>
        <w:pStyle w:val="Heading2"/>
      </w:pPr>
      <w:r>
        <w:t>Then explain the round and ownership</w:t>
      </w:r>
    </w:p>
    <w:p>
      <w:r>
        <w:t>In this example the agreed pre-money value is $9 million and the agreed pre-round share base includes 8 million founder shares plus 1 million shares from Lina's conversion. Pre-money means the value before the new round cash. Dividing $9 million by those 9 million shares gives $1 per share. Atlas's $3 million buys 3 million shares.</w:t>
      </w:r>
    </w:p>
    <w:tbl>
      <w:tblPr>
        <w:tblW w:type="auto" w:w="0"/>
        <w:tblLayout w:type="fixed"/>
        <w:tblLook w:firstColumn="1" w:firstRow="1" w:lastColumn="0" w:lastRow="0" w:noHBand="0" w:noVBand="1" w:val="04A0"/>
      </w:tblPr>
      <w:tblGrid>
        <w:gridCol w:w="1872"/>
        <w:gridCol w:w="4968"/>
        <w:gridCol w:w="3384"/>
      </w:tblGrid>
      <w:tr>
        <w:trPr>
          <w:cantSplit/>
          <w:tblHeader/>
        </w:trPr>
        <w:tc>
          <w:tcPr>
            <w:tcW w:type="dxa" w:w="1872"/>
            <w:shd w:fill="EAF0EC"/>
          </w:tcPr>
          <w:p>
            <w:pPr>
              <w:spacing w:after="80" w:before="60"/>
            </w:pPr>
            <w:r>
              <w:rPr>
                <w:b/>
                <w:sz w:val="19"/>
              </w:rPr>
              <w:t>Holder</w:t>
            </w:r>
          </w:p>
        </w:tc>
        <w:tc>
          <w:tcPr>
            <w:tcW w:type="dxa" w:w="4968"/>
            <w:shd w:fill="EAF0EC"/>
          </w:tcPr>
          <w:p>
            <w:pPr>
              <w:spacing w:after="80" w:before="60"/>
            </w:pPr>
            <w:r>
              <w:rPr>
                <w:b/>
                <w:sz w:val="19"/>
              </w:rPr>
              <w:t>Shares after conversion and round</w:t>
            </w:r>
          </w:p>
        </w:tc>
        <w:tc>
          <w:tcPr>
            <w:tcW w:type="dxa" w:w="3384"/>
            <w:shd w:fill="EAF0EC"/>
          </w:tcPr>
          <w:p>
            <w:pPr>
              <w:spacing w:after="80" w:before="60"/>
            </w:pPr>
            <w:r>
              <w:rPr>
                <w:b/>
                <w:sz w:val="19"/>
              </w:rPr>
              <w:t>Issued-share ownership</w:t>
            </w:r>
          </w:p>
        </w:tc>
      </w:tr>
      <w:tr>
        <w:trPr>
          <w:cantSplit/>
        </w:trPr>
        <w:tc>
          <w:tcPr>
            <w:tcW w:type="dxa" w:w="1872"/>
          </w:tcPr>
          <w:p>
            <w:pPr>
              <w:spacing w:after="80" w:before="60"/>
            </w:pPr>
            <w:r>
              <w:rPr>
                <w:sz w:val="19"/>
              </w:rPr>
              <w:t>Maya</w:t>
            </w:r>
          </w:p>
        </w:tc>
        <w:tc>
          <w:tcPr>
            <w:tcW w:type="dxa" w:w="4968"/>
          </w:tcPr>
          <w:p>
            <w:pPr>
              <w:spacing w:after="80" w:before="60"/>
            </w:pPr>
            <w:r>
              <w:rPr>
                <w:sz w:val="19"/>
              </w:rPr>
              <w:t>6,000,000 common</w:t>
            </w:r>
          </w:p>
        </w:tc>
        <w:tc>
          <w:tcPr>
            <w:tcW w:type="dxa" w:w="3384"/>
          </w:tcPr>
          <w:p>
            <w:pPr>
              <w:spacing w:after="80" w:before="60"/>
            </w:pPr>
            <w:r>
              <w:rPr>
                <w:sz w:val="19"/>
              </w:rPr>
              <w:t>50%</w:t>
            </w:r>
          </w:p>
        </w:tc>
      </w:tr>
      <w:tr>
        <w:trPr>
          <w:cantSplit/>
        </w:trPr>
        <w:tc>
          <w:tcPr>
            <w:tcW w:type="dxa" w:w="1872"/>
          </w:tcPr>
          <w:p>
            <w:pPr>
              <w:spacing w:after="80" w:before="60"/>
            </w:pPr>
            <w:r>
              <w:rPr>
                <w:sz w:val="19"/>
              </w:rPr>
              <w:t>Dev</w:t>
            </w:r>
          </w:p>
        </w:tc>
        <w:tc>
          <w:tcPr>
            <w:tcW w:type="dxa" w:w="4968"/>
          </w:tcPr>
          <w:p>
            <w:pPr>
              <w:spacing w:after="80" w:before="60"/>
            </w:pPr>
            <w:r>
              <w:rPr>
                <w:sz w:val="19"/>
              </w:rPr>
              <w:t>2,000,000 common</w:t>
            </w:r>
          </w:p>
        </w:tc>
        <w:tc>
          <w:tcPr>
            <w:tcW w:type="dxa" w:w="3384"/>
          </w:tcPr>
          <w:p>
            <w:pPr>
              <w:spacing w:after="80" w:before="60"/>
            </w:pPr>
            <w:r>
              <w:rPr>
                <w:sz w:val="19"/>
              </w:rPr>
              <w:t>16.6667%</w:t>
            </w:r>
          </w:p>
        </w:tc>
      </w:tr>
      <w:tr>
        <w:trPr>
          <w:cantSplit/>
        </w:trPr>
        <w:tc>
          <w:tcPr>
            <w:tcW w:type="dxa" w:w="1872"/>
          </w:tcPr>
          <w:p>
            <w:pPr>
              <w:spacing w:after="80" w:before="60"/>
            </w:pPr>
            <w:r>
              <w:rPr>
                <w:sz w:val="19"/>
              </w:rPr>
              <w:t>Lina</w:t>
            </w:r>
          </w:p>
        </w:tc>
        <w:tc>
          <w:tcPr>
            <w:tcW w:type="dxa" w:w="4968"/>
          </w:tcPr>
          <w:p>
            <w:pPr>
              <w:spacing w:after="80" w:before="60"/>
            </w:pPr>
            <w:r>
              <w:rPr>
                <w:sz w:val="19"/>
              </w:rPr>
              <w:t>1,000,000 preferred</w:t>
            </w:r>
          </w:p>
        </w:tc>
        <w:tc>
          <w:tcPr>
            <w:tcW w:type="dxa" w:w="3384"/>
          </w:tcPr>
          <w:p>
            <w:pPr>
              <w:spacing w:after="80" w:before="60"/>
            </w:pPr>
            <w:r>
              <w:rPr>
                <w:sz w:val="19"/>
              </w:rPr>
              <w:t>8.3333%</w:t>
            </w:r>
          </w:p>
        </w:tc>
      </w:tr>
      <w:tr>
        <w:trPr>
          <w:cantSplit/>
        </w:trPr>
        <w:tc>
          <w:tcPr>
            <w:tcW w:type="dxa" w:w="1872"/>
          </w:tcPr>
          <w:p>
            <w:pPr>
              <w:spacing w:after="80" w:before="60"/>
            </w:pPr>
            <w:r>
              <w:rPr>
                <w:sz w:val="19"/>
              </w:rPr>
              <w:t>Atlas</w:t>
            </w:r>
          </w:p>
        </w:tc>
        <w:tc>
          <w:tcPr>
            <w:tcW w:type="dxa" w:w="4968"/>
          </w:tcPr>
          <w:p>
            <w:pPr>
              <w:spacing w:after="80" w:before="60"/>
            </w:pPr>
            <w:r>
              <w:rPr>
                <w:sz w:val="19"/>
              </w:rPr>
              <w:t>3,000,000 preferred</w:t>
            </w:r>
          </w:p>
        </w:tc>
        <w:tc>
          <w:tcPr>
            <w:tcW w:type="dxa" w:w="3384"/>
          </w:tcPr>
          <w:p>
            <w:pPr>
              <w:spacing w:after="80" w:before="60"/>
            </w:pPr>
            <w:r>
              <w:rPr>
                <w:sz w:val="19"/>
              </w:rPr>
              <w:t>25%</w:t>
            </w:r>
          </w:p>
        </w:tc>
      </w:tr>
      <w:tr>
        <w:trPr>
          <w:cantSplit/>
        </w:trPr>
        <w:tc>
          <w:tcPr>
            <w:tcW w:type="dxa" w:w="1872"/>
          </w:tcPr>
          <w:p>
            <w:pPr>
              <w:spacing w:after="80" w:before="60"/>
            </w:pPr>
            <w:r>
              <w:rPr>
                <w:sz w:val="19"/>
              </w:rPr>
              <w:t>Total</w:t>
            </w:r>
          </w:p>
        </w:tc>
        <w:tc>
          <w:tcPr>
            <w:tcW w:type="dxa" w:w="4968"/>
          </w:tcPr>
          <w:p>
            <w:pPr>
              <w:spacing w:after="80" w:before="60"/>
            </w:pPr>
            <w:r>
              <w:rPr>
                <w:sz w:val="19"/>
              </w:rPr>
              <w:t>12,000,000</w:t>
            </w:r>
          </w:p>
        </w:tc>
        <w:tc>
          <w:tcPr>
            <w:tcW w:type="dxa" w:w="3384"/>
          </w:tcPr>
          <w:p>
            <w:pPr>
              <w:spacing w:after="80" w:before="60"/>
            </w:pPr>
            <w:r>
              <w:rPr>
                <w:sz w:val="19"/>
              </w:rPr>
              <w:t>100%</w:t>
            </w:r>
          </w:p>
        </w:tc>
      </w:tr>
    </w:tbl>
    <w:p>
      <w:pPr>
        <w:spacing w:after="0"/>
      </w:pPr>
    </w:p>
    <w:p>
      <w:r>
        <w:t>The displayed percentages are rounded. The calculation service retains exact values. Maya still owns 6 million shares, but her percentage has fallen from 75% to 50% because additional shares exist. This reduction in percentage is called dilution.</w:t>
      </w:r>
    </w:p>
    <w:p>
      <w:pPr>
        <w:pStyle w:val="Heading2"/>
      </w:pPr>
      <w:r>
        <w:t>What changes for a real SAFE</w:t>
      </w:r>
    </w:p>
    <w:p>
      <w:r>
        <w:t>A valuation cap, discount, post-money definition, other converting instruments or an employee pool increase can change the conversion and round equations. The backend must select a reviewed calculation module matching those features. OCE supplies the correct terms and capitalization definition. The agent cannot reuse the fixed-price example when those conditions differ.</w:t>
      </w:r>
    </w:p>
    <w:p>
      <w:r>
        <w:t>The correction must also check whether Lina's 1 million shares already exist. If they do, the action is to link or reconcile records, not issue the same shares again.</w:t>
      </w:r>
    </w:p>
    <w:p>
      <w:r>
        <w:br w:type="page"/>
      </w:r>
    </w:p>
    <w:p>
      <w:pPr>
        <w:pStyle w:val="Heading1"/>
      </w:pPr>
      <w:r>
        <w:t>7 A waterfall explained using the same company</w:t>
      </w:r>
    </w:p>
    <w:p>
      <w:r>
        <w:t>A waterfall is the order and method for distributing sale proceeds. It answers a different question from ownership: who receives how much money under the rights and choices that apply to this sale?</w:t>
      </w:r>
    </w:p>
    <w:p>
      <w:pPr>
        <w:pStyle w:val="Heading2"/>
      </w:pPr>
      <w:r>
        <w:t>Use a deliberately simple set of confirmed rights</w:t>
      </w:r>
    </w:p>
    <w:p>
      <w:r>
        <w:t>Assume all 4 million preferred shares have a $1 per share, 1x nonparticipating preference and can convert to common one-for-one. “1x” means one times the specified base; here the total preference is $4 million. “Nonparticipating” means preferred receives the preference or the permitted as-converted payout, rather than both. This example treats the preferred shares as one uniform election group.</w:t>
      </w:r>
    </w:p>
    <w:p>
      <w:r>
        <w:t>Assume the input is already cash available to shareholders after debt and costs. There are no dividends, employee awards, escrow amounts or other payout rights. These exclusions must be explicit inputs for this teaching example.</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Shareholder cash available</w:t>
            </w:r>
          </w:p>
        </w:tc>
        <w:tc>
          <w:tcPr>
            <w:tcW w:type="dxa" w:w="3888"/>
            <w:shd w:fill="EAF0EC"/>
          </w:tcPr>
          <w:p>
            <w:pPr>
              <w:spacing w:after="80" w:before="60"/>
            </w:pPr>
            <w:r>
              <w:rPr>
                <w:b/>
                <w:sz w:val="19"/>
              </w:rPr>
              <w:t>Keep preferred rights</w:t>
            </w:r>
          </w:p>
        </w:tc>
        <w:tc>
          <w:tcPr>
            <w:tcW w:type="dxa" w:w="4104"/>
            <w:shd w:fill="EAF0EC"/>
          </w:tcPr>
          <w:p>
            <w:pPr>
              <w:spacing w:after="80" w:before="60"/>
            </w:pPr>
            <w:r>
              <w:rPr>
                <w:b/>
                <w:sz w:val="19"/>
              </w:rPr>
              <w:t>Convert preferred to common</w:t>
            </w:r>
          </w:p>
        </w:tc>
      </w:tr>
      <w:tr>
        <w:trPr>
          <w:cantSplit/>
        </w:trPr>
        <w:tc>
          <w:tcPr>
            <w:tcW w:type="dxa" w:w="2232"/>
          </w:tcPr>
          <w:p>
            <w:pPr>
              <w:spacing w:after="80" w:before="60"/>
            </w:pPr>
            <w:r>
              <w:rPr>
                <w:sz w:val="19"/>
              </w:rPr>
              <w:t>$6 million</w:t>
            </w:r>
          </w:p>
        </w:tc>
        <w:tc>
          <w:tcPr>
            <w:tcW w:type="dxa" w:w="3888"/>
          </w:tcPr>
          <w:p>
            <w:pPr>
              <w:spacing w:after="80" w:before="60"/>
            </w:pPr>
            <w:r>
              <w:rPr>
                <w:sz w:val="19"/>
              </w:rPr>
              <w:t>Preferred receives $4M; common receives $2M.</w:t>
            </w:r>
          </w:p>
        </w:tc>
        <w:tc>
          <w:tcPr>
            <w:tcW w:type="dxa" w:w="4104"/>
          </w:tcPr>
          <w:p>
            <w:pPr>
              <w:spacing w:after="80" w:before="60"/>
            </w:pPr>
            <w:r>
              <w:rPr>
                <w:sz w:val="19"/>
              </w:rPr>
              <w:t>Preferred owns 4M of 12M shares and receives $2M.</w:t>
            </w:r>
          </w:p>
        </w:tc>
      </w:tr>
      <w:tr>
        <w:trPr>
          <w:cantSplit/>
        </w:trPr>
        <w:tc>
          <w:tcPr>
            <w:tcW w:type="dxa" w:w="2232"/>
          </w:tcPr>
          <w:p>
            <w:pPr>
              <w:spacing w:after="80" w:before="60"/>
            </w:pPr>
            <w:r>
              <w:rPr>
                <w:sz w:val="19"/>
              </w:rPr>
              <w:t>$18 million</w:t>
            </w:r>
          </w:p>
        </w:tc>
        <w:tc>
          <w:tcPr>
            <w:tcW w:type="dxa" w:w="3888"/>
          </w:tcPr>
          <w:p>
            <w:pPr>
              <w:spacing w:after="80" w:before="60"/>
            </w:pPr>
            <w:r>
              <w:rPr>
                <w:sz w:val="19"/>
              </w:rPr>
              <w:t>Preferred receives $4M; common receives $14M.</w:t>
            </w:r>
          </w:p>
        </w:tc>
        <w:tc>
          <w:tcPr>
            <w:tcW w:type="dxa" w:w="4104"/>
          </w:tcPr>
          <w:p>
            <w:pPr>
              <w:spacing w:after="80" w:before="60"/>
            </w:pPr>
            <w:r>
              <w:rPr>
                <w:sz w:val="19"/>
              </w:rPr>
              <w:t>Preferred receives one-third, or $6M; common receives $12M.</w:t>
            </w:r>
          </w:p>
        </w:tc>
      </w:tr>
    </w:tbl>
    <w:p>
      <w:pPr>
        <w:spacing w:after="0"/>
      </w:pPr>
    </w:p>
    <w:p>
      <w:r>
        <w:t>Under an allowed payout-maximizing election, preferred retains its rights at $6 million and converts at $18 million. With the same rights inside that group, Lina receives one-quarter and Atlas three-quarters of the group payout: $1M and $3M in the first case; $1.5M and $4.5M in the second.</w:t>
      </w:r>
    </w:p>
    <w:p>
      <w:pPr>
        <w:pStyle w:val="Heading2"/>
      </w:pPr>
      <w:r>
        <w:t>Developer requirement</w:t>
      </w:r>
    </w:p>
    <w:p>
      <w:r>
        <w:t>OCE supplies the preference amount basis, rank, participation rules, conversion ratio and election requirements. The coded waterfall service calculates the full distribution and permitted choices. The agent explains the returned calculation. Multiple classes with different priorities or elections require a more complete solver; independently maximizing the payout for each class can produce an impossible result.</w:t>
      </w:r>
    </w:p>
    <w:p>
      <w:r>
        <w:br w:type="page"/>
      </w:r>
    </w:p>
    <w:p>
      <w:pPr>
        <w:pStyle w:val="Heading1"/>
      </w:pPr>
      <w:r>
        <w:t>8 What ontology graph and OCE mean in this product</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Term</w:t>
            </w:r>
          </w:p>
        </w:tc>
        <w:tc>
          <w:tcPr>
            <w:tcW w:type="dxa" w:w="3888"/>
            <w:shd w:fill="EAF0EC"/>
          </w:tcPr>
          <w:p>
            <w:pPr>
              <w:spacing w:after="80" w:before="60"/>
            </w:pPr>
            <w:r>
              <w:rPr>
                <w:b/>
                <w:sz w:val="19"/>
              </w:rPr>
              <w:t>Plain explanation</w:t>
            </w:r>
          </w:p>
        </w:tc>
        <w:tc>
          <w:tcPr>
            <w:tcW w:type="dxa" w:w="4104"/>
            <w:shd w:fill="EAF0EC"/>
          </w:tcPr>
          <w:p>
            <w:pPr>
              <w:spacing w:after="80" w:before="60"/>
            </w:pPr>
            <w:r>
              <w:rPr>
                <w:b/>
                <w:sz w:val="19"/>
              </w:rPr>
              <w:t>Bluebird example</w:t>
            </w:r>
          </w:p>
        </w:tc>
      </w:tr>
      <w:tr>
        <w:trPr>
          <w:cantSplit/>
        </w:trPr>
        <w:tc>
          <w:tcPr>
            <w:tcW w:type="dxa" w:w="2232"/>
          </w:tcPr>
          <w:p>
            <w:pPr>
              <w:spacing w:after="80" w:before="60"/>
            </w:pPr>
            <w:r>
              <w:rPr>
                <w:sz w:val="19"/>
              </w:rPr>
              <w:t>Ontology</w:t>
            </w:r>
          </w:p>
        </w:tc>
        <w:tc>
          <w:tcPr>
            <w:tcW w:type="dxa" w:w="3888"/>
          </w:tcPr>
          <w:p>
            <w:pPr>
              <w:spacing w:after="80" w:before="60"/>
            </w:pPr>
            <w:r>
              <w:rPr>
                <w:sz w:val="19"/>
              </w:rPr>
              <w:t>The shared dictionary and relationship rules used by our software.</w:t>
            </w:r>
          </w:p>
        </w:tc>
        <w:tc>
          <w:tcPr>
            <w:tcW w:type="dxa" w:w="4104"/>
          </w:tcPr>
          <w:p>
            <w:pPr>
              <w:spacing w:after="80" w:before="60"/>
            </w:pPr>
            <w:r>
              <w:rPr>
                <w:sz w:val="19"/>
              </w:rPr>
              <w:t>A SAFE is an investment agreement; a conversion produces a different instrument or holding.</w:t>
            </w:r>
          </w:p>
        </w:tc>
      </w:tr>
      <w:tr>
        <w:trPr>
          <w:cantSplit/>
        </w:trPr>
        <w:tc>
          <w:tcPr>
            <w:tcW w:type="dxa" w:w="2232"/>
          </w:tcPr>
          <w:p>
            <w:pPr>
              <w:spacing w:after="80" w:before="60"/>
            </w:pPr>
            <w:r>
              <w:rPr>
                <w:sz w:val="19"/>
              </w:rPr>
              <w:t>Knowledge graph</w:t>
            </w:r>
          </w:p>
        </w:tc>
        <w:tc>
          <w:tcPr>
            <w:tcW w:type="dxa" w:w="3888"/>
          </w:tcPr>
          <w:p>
            <w:pPr>
              <w:spacing w:after="80" w:before="60"/>
            </w:pPr>
            <w:r>
              <w:rPr>
                <w:sz w:val="19"/>
              </w:rPr>
              <w:t>The company's actual records connected by named relationships.</w:t>
            </w:r>
          </w:p>
        </w:tc>
        <w:tc>
          <w:tcPr>
            <w:tcW w:type="dxa" w:w="4104"/>
          </w:tcPr>
          <w:p>
            <w:pPr>
              <w:spacing w:after="80" w:before="60"/>
            </w:pPr>
            <w:r>
              <w:rPr>
                <w:sz w:val="19"/>
              </w:rPr>
              <w:t>Lina invested through S1. Conversion C1 converted S1 into lot L1.</w:t>
            </w:r>
          </w:p>
        </w:tc>
      </w:tr>
      <w:tr>
        <w:trPr>
          <w:cantSplit/>
        </w:trPr>
        <w:tc>
          <w:tcPr>
            <w:tcW w:type="dxa" w:w="2232"/>
          </w:tcPr>
          <w:p>
            <w:pPr>
              <w:spacing w:after="80" w:before="60"/>
            </w:pPr>
            <w:r>
              <w:rPr>
                <w:sz w:val="19"/>
              </w:rPr>
              <w:t>OCE</w:t>
            </w:r>
          </w:p>
        </w:tc>
        <w:tc>
          <w:tcPr>
            <w:tcW w:type="dxa" w:w="3888"/>
          </w:tcPr>
          <w:p>
            <w:pPr>
              <w:spacing w:after="80" w:before="60"/>
            </w:pPr>
            <w:r>
              <w:rPr>
                <w:sz w:val="19"/>
              </w:rPr>
              <w:t>The service that selects the relevant company facts, meanings, evidence and unresolved issues for a task.</w:t>
            </w:r>
          </w:p>
        </w:tc>
        <w:tc>
          <w:tcPr>
            <w:tcW w:type="dxa" w:w="4104"/>
          </w:tcPr>
          <w:p>
            <w:pPr>
              <w:spacing w:after="80" w:before="60"/>
            </w:pPr>
            <w:r>
              <w:rPr>
                <w:sz w:val="19"/>
              </w:rPr>
              <w:t>Before converting S1, supply its terms, relevant close, dates and existing conversion records.</w:t>
            </w:r>
          </w:p>
        </w:tc>
      </w:tr>
      <w:tr>
        <w:trPr>
          <w:cantSplit/>
        </w:trPr>
        <w:tc>
          <w:tcPr>
            <w:tcW w:type="dxa" w:w="2232"/>
          </w:tcPr>
          <w:p>
            <w:pPr>
              <w:spacing w:after="80" w:before="60"/>
            </w:pPr>
            <w:r>
              <w:rPr>
                <w:sz w:val="19"/>
              </w:rPr>
              <w:t>Context package</w:t>
            </w:r>
          </w:p>
        </w:tc>
        <w:tc>
          <w:tcPr>
            <w:tcW w:type="dxa" w:w="3888"/>
          </w:tcPr>
          <w:p>
            <w:pPr>
              <w:spacing w:after="80" w:before="60"/>
            </w:pPr>
            <w:r>
              <w:rPr>
                <w:sz w:val="19"/>
              </w:rPr>
              <w:t>The structured answer OCE gives the agent and backend for one task.</w:t>
            </w:r>
          </w:p>
        </w:tc>
        <w:tc>
          <w:tcPr>
            <w:tcW w:type="dxa" w:w="4104"/>
          </w:tcPr>
          <w:p>
            <w:pPr>
              <w:spacing w:after="80" w:before="60"/>
            </w:pPr>
            <w:r>
              <w:rPr>
                <w:sz w:val="19"/>
              </w:rPr>
              <w:t>Confirmed S1 facts plus a missing-date question if the funding date is unknown.</w:t>
            </w:r>
          </w:p>
        </w:tc>
      </w:tr>
    </w:tbl>
    <w:p>
      <w:pPr>
        <w:spacing w:after="0"/>
      </w:pPr>
    </w:p>
    <w:p>
      <w:pPr>
        <w:pStyle w:val="Heading2"/>
      </w:pPr>
      <w:r>
        <w:t>Why we need relationships</w:t>
      </w:r>
    </w:p>
    <w:p>
      <w:r>
        <w:t>A search returning the words Lina, SAFE and Series A is insufficient. We need to know which agreement belongs to Lina, which company issued it, which close could trigger it, which terms were effective then and whether resulting shares already exist. The graph gives explicit links to follow.</w:t>
      </w:r>
    </w:p>
    <w:p>
      <w:pPr>
        <w:pStyle w:val="Heading2"/>
      </w:pPr>
      <w:r>
        <w:t>What the graph does not decide</w:t>
      </w:r>
    </w:p>
    <w:p>
      <w:r>
        <w:t>A graph can store incorrect or incomplete information. The existence of a connection does not prove its legal meaning or numerical correctness. Every accepted connection needs an identifiable source and the required confirmation. Financial calculations continue to run in coded backend services.</w:t>
      </w:r>
    </w:p>
    <w:p>
      <w:pPr>
        <w:pStyle w:val="Heading2"/>
      </w:pPr>
      <w:r>
        <w:t>Practical starting point</w:t>
      </w:r>
    </w:p>
    <w:p>
      <w:r>
        <w:t>Use a focused capitalization dictionary and graph. Do not require every developer to understand all of FIBO or OWL before building the first workflow. The ontology and SHACL files in the package are advanced implementation aids; the company records and service behavior in this guide define the practical work to complete first.</w:t>
      </w:r>
    </w:p>
    <w:p>
      <w:r>
        <w:br w:type="page"/>
      </w:r>
    </w:p>
    <w:p>
      <w:pPr>
        <w:pStyle w:val="Heading1"/>
      </w:pPr>
      <w:r>
        <w:t>9 How the parts work together</w:t>
      </w:r>
    </w:p>
    <w:p>
      <w:r>
        <w:drawing>
          <wp:inline xmlns:a="http://schemas.openxmlformats.org/drawingml/2006/main" xmlns:pic="http://schemas.openxmlformats.org/drawingml/2006/picture">
            <wp:extent cx="6446520" cy="3672563"/>
            <wp:docPr id="1" name="Picture 1"/>
            <wp:cNvGraphicFramePr>
              <a:graphicFrameLocks noChangeAspect="1"/>
            </wp:cNvGraphicFramePr>
            <a:graphic>
              <a:graphicData uri="http://schemas.openxmlformats.org/drawingml/2006/picture">
                <pic:pic>
                  <pic:nvPicPr>
                    <pic:cNvPr id="0" name="build_flow.png"/>
                    <pic:cNvPicPr/>
                  </pic:nvPicPr>
                  <pic:blipFill>
                    <a:blip r:embed="rId10"/>
                    <a:stretch>
                      <a:fillRect/>
                    </a:stretch>
                  </pic:blipFill>
                  <pic:spPr>
                    <a:xfrm>
                      <a:off x="0" y="0"/>
                      <a:ext cx="6446520" cy="3672563"/>
                    </a:xfrm>
                    <a:prstGeom prst="rect"/>
                  </pic:spPr>
                </pic:pic>
              </a:graphicData>
            </a:graphic>
          </wp:inline>
        </w:drawing>
      </w:r>
    </w:p>
    <w:p>
      <w:pPr>
        <w:pStyle w:val="Heading2"/>
      </w:pPr>
      <w:r>
        <w:t>One clear responsibility for each part</w:t>
      </w:r>
    </w:p>
    <w:p>
      <w:r>
        <w:t>The backend stores the official approved records and financial changes. OCE maintains a linked view of those records and selects the facts needed for a question. Calculation services do the arithmetic. Agents ask questions, call those services, explain results and present proposed changes.</w:t>
      </w:r>
    </w:p>
    <w:p>
      <w:r>
        <w:t>A user approval goes to the backend change service. The agent does not edit the graph to make the change appear official. After the backend saves the approved change, it publishes a message describing what changed. OCE uses that message to refresh its linked view.</w:t>
      </w:r>
    </w:p>
    <w:p>
      <w:pPr>
        <w:pStyle w:val="Heading2"/>
      </w:pPr>
      <w:r>
        <w:t>Important implementation check</w:t>
      </w:r>
    </w:p>
    <w:p>
      <w:r>
        <w:t>If the backend has saved a conversion but OCE has not yet loaded it, the agent must wait or receive an explicit updating response. It must not conclude that the conversion is missing and propose it again. Chapter 21 explains how to implement this check.</w:t>
      </w:r>
    </w:p>
    <w:p>
      <w:r>
        <w:br w:type="page"/>
      </w:r>
    </w:p>
    <w:p>
      <w:pPr>
        <w:pStyle w:val="Heading1"/>
      </w:pPr>
      <w:r>
        <w:t>10 The records developers need to store</w:t>
      </w:r>
    </w:p>
    <w:p>
      <w:r>
        <w:t>A tenant is a customer account that may contain several companies. A legal holder is the owner recorded in the company records; a beneficial owner is a person or entity with an underlying economic interest, which must be recorded separately. Use stable IDs generated by the application. Names are labels, not reliable IDs. Lina can change her display name without becoming a different investor. Two funds with similar names must not be automatically combined.</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Record</w:t>
            </w:r>
          </w:p>
        </w:tc>
        <w:tc>
          <w:tcPr>
            <w:tcW w:type="dxa" w:w="3888"/>
            <w:shd w:fill="EAF0EC"/>
          </w:tcPr>
          <w:p>
            <w:pPr>
              <w:spacing w:after="80" w:before="60"/>
            </w:pPr>
            <w:r>
              <w:rPr>
                <w:b/>
                <w:sz w:val="19"/>
              </w:rPr>
              <w:t>Essential fields</w:t>
            </w:r>
          </w:p>
        </w:tc>
        <w:tc>
          <w:tcPr>
            <w:tcW w:type="dxa" w:w="4104"/>
            <w:shd w:fill="EAF0EC"/>
          </w:tcPr>
          <w:p>
            <w:pPr>
              <w:spacing w:after="80" w:before="60"/>
            </w:pPr>
            <w:r>
              <w:rPr>
                <w:b/>
                <w:sz w:val="19"/>
              </w:rPr>
              <w:t>Why it exists</w:t>
            </w:r>
          </w:p>
        </w:tc>
      </w:tr>
      <w:tr>
        <w:trPr>
          <w:cantSplit/>
        </w:trPr>
        <w:tc>
          <w:tcPr>
            <w:tcW w:type="dxa" w:w="2232"/>
          </w:tcPr>
          <w:p>
            <w:pPr>
              <w:spacing w:after="80" w:before="60"/>
            </w:pPr>
            <w:r>
              <w:rPr>
                <w:sz w:val="19"/>
              </w:rPr>
              <w:t>Company</w:t>
            </w:r>
          </w:p>
        </w:tc>
        <w:tc>
          <w:tcPr>
            <w:tcW w:type="dxa" w:w="3888"/>
          </w:tcPr>
          <w:p>
            <w:pPr>
              <w:spacing w:after="80" w:before="60"/>
            </w:pPr>
            <w:r>
              <w:rPr>
                <w:sz w:val="19"/>
              </w:rPr>
              <w:t>company_id, name, tenant_id.</w:t>
            </w:r>
          </w:p>
        </w:tc>
        <w:tc>
          <w:tcPr>
            <w:tcW w:type="dxa" w:w="4104"/>
          </w:tcPr>
          <w:p>
            <w:pPr>
              <w:spacing w:after="80" w:before="60"/>
            </w:pPr>
            <w:r>
              <w:rPr>
                <w:sz w:val="19"/>
              </w:rPr>
              <w:t>Separates each issuer and its access boundary.</w:t>
            </w:r>
          </w:p>
        </w:tc>
      </w:tr>
      <w:tr>
        <w:trPr>
          <w:cantSplit/>
        </w:trPr>
        <w:tc>
          <w:tcPr>
            <w:tcW w:type="dxa" w:w="2232"/>
          </w:tcPr>
          <w:p>
            <w:pPr>
              <w:spacing w:after="80" w:before="60"/>
            </w:pPr>
            <w:r>
              <w:rPr>
                <w:sz w:val="19"/>
              </w:rPr>
              <w:t>Holder</w:t>
            </w:r>
          </w:p>
        </w:tc>
        <w:tc>
          <w:tcPr>
            <w:tcW w:type="dxa" w:w="3888"/>
          </w:tcPr>
          <w:p>
            <w:pPr>
              <w:spacing w:after="80" w:before="60"/>
            </w:pPr>
            <w:r>
              <w:rPr>
                <w:sz w:val="19"/>
              </w:rPr>
              <w:t>holder_id, legal name, external identifiers.</w:t>
            </w:r>
          </w:p>
        </w:tc>
        <w:tc>
          <w:tcPr>
            <w:tcW w:type="dxa" w:w="4104"/>
          </w:tcPr>
          <w:p>
            <w:pPr>
              <w:spacing w:after="80" w:before="60"/>
            </w:pPr>
            <w:r>
              <w:rPr>
                <w:sz w:val="19"/>
              </w:rPr>
              <w:t>Identifies the legal owner; beneficial ownership is recorded separately.</w:t>
            </w:r>
          </w:p>
        </w:tc>
      </w:tr>
      <w:tr>
        <w:trPr>
          <w:cantSplit/>
        </w:trPr>
        <w:tc>
          <w:tcPr>
            <w:tcW w:type="dxa" w:w="2232"/>
          </w:tcPr>
          <w:p>
            <w:pPr>
              <w:spacing w:after="80" w:before="60"/>
            </w:pPr>
            <w:r>
              <w:rPr>
                <w:sz w:val="19"/>
              </w:rPr>
              <w:t>Instrument</w:t>
            </w:r>
          </w:p>
        </w:tc>
        <w:tc>
          <w:tcPr>
            <w:tcW w:type="dxa" w:w="3888"/>
          </w:tcPr>
          <w:p>
            <w:pPr>
              <w:spacing w:after="80" w:before="60"/>
            </w:pPr>
            <w:r>
              <w:rPr>
                <w:sz w:val="19"/>
              </w:rPr>
              <w:t>instrument_id, company_id, type, investor reference, current lifecycle state.</w:t>
            </w:r>
          </w:p>
        </w:tc>
        <w:tc>
          <w:tcPr>
            <w:tcW w:type="dxa" w:w="4104"/>
          </w:tcPr>
          <w:p>
            <w:pPr>
              <w:spacing w:after="80" w:before="60"/>
            </w:pPr>
            <w:r>
              <w:rPr>
                <w:sz w:val="19"/>
              </w:rPr>
              <w:t>Tracks one agreement or security without relying on its spreadsheet row.</w:t>
            </w:r>
          </w:p>
        </w:tc>
      </w:tr>
      <w:tr>
        <w:trPr>
          <w:cantSplit/>
        </w:trPr>
        <w:tc>
          <w:tcPr>
            <w:tcW w:type="dxa" w:w="2232"/>
          </w:tcPr>
          <w:p>
            <w:pPr>
              <w:spacing w:after="80" w:before="60"/>
            </w:pPr>
            <w:r>
              <w:rPr>
                <w:sz w:val="19"/>
              </w:rPr>
              <w:t>Share class</w:t>
            </w:r>
          </w:p>
        </w:tc>
        <w:tc>
          <w:tcPr>
            <w:tcW w:type="dxa" w:w="3888"/>
          </w:tcPr>
          <w:p>
            <w:pPr>
              <w:spacing w:after="80" w:before="60"/>
            </w:pPr>
            <w:r>
              <w:rPr>
                <w:sz w:val="19"/>
              </w:rPr>
              <w:t>class_id, name, versioned rights references.</w:t>
            </w:r>
          </w:p>
        </w:tc>
        <w:tc>
          <w:tcPr>
            <w:tcW w:type="dxa" w:w="4104"/>
          </w:tcPr>
          <w:p>
            <w:pPr>
              <w:spacing w:after="80" w:before="60"/>
            </w:pPr>
            <w:r>
              <w:rPr>
                <w:sz w:val="19"/>
              </w:rPr>
              <w:t>Defines which rights apply to a group of shares.</w:t>
            </w:r>
          </w:p>
        </w:tc>
      </w:tr>
      <w:tr>
        <w:trPr>
          <w:cantSplit/>
        </w:trPr>
        <w:tc>
          <w:tcPr>
            <w:tcW w:type="dxa" w:w="2232"/>
          </w:tcPr>
          <w:p>
            <w:pPr>
              <w:spacing w:after="80" w:before="60"/>
            </w:pPr>
            <w:r>
              <w:rPr>
                <w:sz w:val="19"/>
              </w:rPr>
              <w:t>Holding lot</w:t>
            </w:r>
          </w:p>
        </w:tc>
        <w:tc>
          <w:tcPr>
            <w:tcW w:type="dxa" w:w="3888"/>
          </w:tcPr>
          <w:p>
            <w:pPr>
              <w:spacing w:after="80" w:before="60"/>
            </w:pPr>
            <w:r>
              <w:rPr>
                <w:sz w:val="19"/>
              </w:rPr>
              <w:t>lot_id, holder_id, class_id, quantity, creating event reference.</w:t>
            </w:r>
          </w:p>
        </w:tc>
        <w:tc>
          <w:tcPr>
            <w:tcW w:type="dxa" w:w="4104"/>
          </w:tcPr>
          <w:p>
            <w:pPr>
              <w:spacing w:after="80" w:before="60"/>
            </w:pPr>
            <w:r>
              <w:rPr>
                <w:sz w:val="19"/>
              </w:rPr>
              <w:t>Tracks a specific group of shares and where it came from.</w:t>
            </w:r>
          </w:p>
        </w:tc>
      </w:tr>
      <w:tr>
        <w:trPr>
          <w:cantSplit/>
        </w:trPr>
        <w:tc>
          <w:tcPr>
            <w:tcW w:type="dxa" w:w="2232"/>
          </w:tcPr>
          <w:p>
            <w:pPr>
              <w:spacing w:after="80" w:before="60"/>
            </w:pPr>
            <w:r>
              <w:rPr>
                <w:sz w:val="19"/>
              </w:rPr>
              <w:t>Financing close</w:t>
            </w:r>
          </w:p>
        </w:tc>
        <w:tc>
          <w:tcPr>
            <w:tcW w:type="dxa" w:w="3888"/>
          </w:tcPr>
          <w:p>
            <w:pPr>
              <w:spacing w:after="80" w:before="60"/>
            </w:pPr>
            <w:r>
              <w:rPr>
                <w:sz w:val="19"/>
              </w:rPr>
              <w:t>close_id, round_id, company_id, date and ordering evidence.</w:t>
            </w:r>
          </w:p>
        </w:tc>
        <w:tc>
          <w:tcPr>
            <w:tcW w:type="dxa" w:w="4104"/>
          </w:tcPr>
          <w:p>
            <w:pPr>
              <w:spacing w:after="80" w:before="60"/>
            </w:pPr>
            <w:r>
              <w:rPr>
                <w:sz w:val="19"/>
              </w:rPr>
              <w:t>Identifies the actual closing, rather than only the label Series A.</w:t>
            </w:r>
          </w:p>
        </w:tc>
      </w:tr>
      <w:tr>
        <w:trPr>
          <w:cantSplit/>
        </w:trPr>
        <w:tc>
          <w:tcPr>
            <w:tcW w:type="dxa" w:w="2232"/>
          </w:tcPr>
          <w:p>
            <w:pPr>
              <w:spacing w:after="80" w:before="60"/>
            </w:pPr>
            <w:r>
              <w:rPr>
                <w:sz w:val="19"/>
              </w:rPr>
              <w:t>Term version</w:t>
            </w:r>
          </w:p>
        </w:tc>
        <w:tc>
          <w:tcPr>
            <w:tcW w:type="dxa" w:w="3888"/>
          </w:tcPr>
          <w:p>
            <w:pPr>
              <w:spacing w:after="80" w:before="60"/>
            </w:pPr>
            <w:r>
              <w:rPr>
                <w:sz w:val="19"/>
              </w:rPr>
              <w:t>terms_id, instrument/class reference, effective dates, confirmed values.</w:t>
            </w:r>
          </w:p>
        </w:tc>
        <w:tc>
          <w:tcPr>
            <w:tcW w:type="dxa" w:w="4104"/>
          </w:tcPr>
          <w:p>
            <w:pPr>
              <w:spacing w:after="80" w:before="60"/>
            </w:pPr>
            <w:r>
              <w:rPr>
                <w:sz w:val="19"/>
              </w:rPr>
              <w:t>Preserves which version of the agreement applies.</w:t>
            </w:r>
          </w:p>
        </w:tc>
      </w:tr>
      <w:tr>
        <w:trPr>
          <w:cantSplit/>
        </w:trPr>
        <w:tc>
          <w:tcPr>
            <w:tcW w:type="dxa" w:w="2232"/>
          </w:tcPr>
          <w:p>
            <w:pPr>
              <w:spacing w:after="80" w:before="60"/>
            </w:pPr>
            <w:r>
              <w:rPr>
                <w:sz w:val="19"/>
              </w:rPr>
              <w:t>Financial event</w:t>
            </w:r>
          </w:p>
        </w:tc>
        <w:tc>
          <w:tcPr>
            <w:tcW w:type="dxa" w:w="3888"/>
          </w:tcPr>
          <w:p>
            <w:pPr>
              <w:spacing w:after="80" w:before="60"/>
            </w:pPr>
            <w:r>
              <w:rPr>
                <w:sz w:val="19"/>
              </w:rPr>
              <w:t>event_id, kind, effective date, original and resulting record references.</w:t>
            </w:r>
          </w:p>
        </w:tc>
        <w:tc>
          <w:tcPr>
            <w:tcW w:type="dxa" w:w="4104"/>
          </w:tcPr>
          <w:p>
            <w:pPr>
              <w:spacing w:after="80" w:before="60"/>
            </w:pPr>
            <w:r>
              <w:rPr>
                <w:sz w:val="19"/>
              </w:rPr>
              <w:t>Records an issuance, conversion, transfer, repayment or other approved change.</w:t>
            </w:r>
          </w:p>
        </w:tc>
      </w:tr>
    </w:tbl>
    <w:p>
      <w:pPr>
        <w:spacing w:after="0"/>
      </w:pPr>
    </w:p>
    <w:p>
      <w:pPr>
        <w:pStyle w:val="Heading2"/>
      </w:pPr>
      <w:r>
        <w:t>What a lot means</w:t>
      </w:r>
    </w:p>
    <w:p>
      <w:r>
        <w:t>Lina's conversion creates lot L1 containing 1 million preferred shares. If she later transfers 100,000 shares, the software follows that lot and creates the required resulting lot records. This history helps prevent transferring shares she does not own and helps trace how a later owner acquired them.</w:t>
      </w:r>
    </w:p>
    <w:p>
      <w:r>
        <w:t>A term version is a saved set of terms with a stable ID. When an approved amendment changes the terms, create a new version and retain the old one. Do not replace the old values everywhere and destroy the ability to explain earlier reports.</w:t>
      </w:r>
    </w:p>
    <w:p>
      <w:r>
        <w:br w:type="page"/>
      </w:r>
    </w:p>
    <w:p>
      <w:pPr>
        <w:pStyle w:val="Heading1"/>
      </w:pPr>
      <w:r>
        <w:t>11 The concrete graph for Lina's conversion</w:t>
      </w:r>
    </w:p>
    <w:p>
      <w:r>
        <w:drawing>
          <wp:inline xmlns:a="http://schemas.openxmlformats.org/drawingml/2006/main" xmlns:pic="http://schemas.openxmlformats.org/drawingml/2006/picture">
            <wp:extent cx="6446520" cy="3672563"/>
            <wp:docPr id="2" name="Picture 2"/>
            <wp:cNvGraphicFramePr>
              <a:graphicFrameLocks noChangeAspect="1"/>
            </wp:cNvGraphicFramePr>
            <a:graphic>
              <a:graphicData uri="http://schemas.openxmlformats.org/drawingml/2006/picture">
                <pic:pic>
                  <pic:nvPicPr>
                    <pic:cNvPr id="0" name="bluebird_graph.png"/>
                    <pic:cNvPicPr/>
                  </pic:nvPicPr>
                  <pic:blipFill>
                    <a:blip r:embed="rId11"/>
                    <a:stretch>
                      <a:fillRect/>
                    </a:stretch>
                  </pic:blipFill>
                  <pic:spPr>
                    <a:xfrm>
                      <a:off x="0" y="0"/>
                      <a:ext cx="6446520" cy="3672563"/>
                    </a:xfrm>
                    <a:prstGeom prst="rect"/>
                  </pic:spPr>
                </pic:pic>
              </a:graphicData>
            </a:graphic>
          </wp:inline>
        </w:drawing>
      </w:r>
    </w:p>
    <w:p>
      <w:pPr>
        <w:pStyle w:val="Heading2"/>
      </w:pPr>
      <w:r>
        <w:t>How to read the picture</w:t>
      </w:r>
    </w:p>
    <w:p>
      <w:r>
        <w:t>Each box is a record. Each arrow has a meaning. Conversion C1 points to the original agreement S1, the financing close and the resulting lot L1. Lot L1 also has a legal-holder link to Lina in the stored records. The diagram simplifies that last link to keep the picture readable.</w:t>
      </w:r>
    </w:p>
    <w:p>
      <w:pPr>
        <w:pStyle w:val="Heading2"/>
      </w:pPr>
      <w:r>
        <w:t>How a developer uses these links</w:t>
      </w:r>
    </w:p>
    <w:p>
      <w:r>
        <w:t>1. Find S1 by its stable ID and check that it belongs to Bluebird.</w:t>
      </w:r>
    </w:p>
    <w:p>
      <w:r>
        <w:t>2. Find recorded conversion events whose source instrument is S1.</w:t>
      </w:r>
    </w:p>
    <w:p>
      <w:r>
        <w:t>3. Follow each event to its resulting lots. Check quantities and remaining balances using the backend.</w:t>
      </w:r>
    </w:p>
    <w:p>
      <w:r>
        <w:t>4. If a conversion already exists, return its evidence. Do not create another conversion simply because the upload still contains an old SAFE row.</w:t>
      </w:r>
    </w:p>
    <w:p>
      <w:r>
        <w:t>Before the conversion is approved and recorded, C1 and L1 do not exist as official records. A proposed conversion belongs in a separate preview. OCE may help locate a candidate close, but a possible trigger is not a recorded conversion.</w:t>
      </w:r>
    </w:p>
    <w:p>
      <w:r>
        <w:br w:type="page"/>
      </w:r>
    </w:p>
    <w:p>
      <w:pPr>
        <w:pStyle w:val="Heading1"/>
      </w:pPr>
      <w:r>
        <w:t>12 Store facts with their source and confirmation</w:t>
      </w:r>
    </w:p>
    <w:p>
      <w:r>
        <w:t>A fact record says what we believe about one field and why. The technical ontology calls this an assertion. For example, the funding-date field for S1 may start as unknown and later become a confirmed date.</w:t>
      </w:r>
    </w:p>
    <w:p>
      <w:r>
        <w:rPr>
          <w:rFonts w:ascii="DejaVu Sans Mono" w:hAnsi="DejaVu Sans Mono"/>
          <w:sz w:val="17"/>
        </w:rPr>
        <w:t>fact_id: funding-fact-1</w:t>
        <w:br/>
        <w:t>record_id: S1</w:t>
        <w:br/>
        <w:t>field: funded_date</w:t>
        <w:br/>
        <w:t>state: UNKNOWN</w:t>
        <w:br/>
        <w:t>confirmation: UNREVIEWED</w:t>
        <w:br/>
        <w:t>source: upload-17 / Instruments / cell D12</w:t>
        <w:br/>
        <w:t>recorded_at: 2026-07-10T10:00:00Z</w:t>
      </w:r>
    </w:p>
    <w:p>
      <w:r>
        <w:t>On 12 July the reviewer confirms 5 March as the funding date. Create a new fact record with state KNOWN, value 2026-03-05, confirmation CONFIRMED, the confirmation evidence and a link to the earlier fact. Retain the original record.</w:t>
      </w:r>
    </w:p>
    <w:tbl>
      <w:tblPr>
        <w:tblW w:type="auto" w:w="0"/>
        <w:tblLayout w:type="fixed"/>
        <w:tblLook w:firstColumn="1" w:firstRow="1" w:lastColumn="0" w:lastRow="0" w:noHBand="0" w:noVBand="1" w:val="04A0"/>
      </w:tblPr>
      <w:tblGrid>
        <w:gridCol w:w="2736"/>
        <w:gridCol w:w="7488"/>
      </w:tblGrid>
      <w:tr>
        <w:trPr>
          <w:cantSplit/>
          <w:tblHeader/>
        </w:trPr>
        <w:tc>
          <w:tcPr>
            <w:tcW w:type="dxa" w:w="2736"/>
            <w:shd w:fill="EAF0EC"/>
          </w:tcPr>
          <w:p>
            <w:pPr>
              <w:spacing w:after="80" w:before="60"/>
            </w:pPr>
            <w:r>
              <w:rPr>
                <w:b/>
                <w:sz w:val="19"/>
              </w:rPr>
              <w:t>Field in the starter assets</w:t>
            </w:r>
          </w:p>
        </w:tc>
        <w:tc>
          <w:tcPr>
            <w:tcW w:type="dxa" w:w="7488"/>
            <w:shd w:fill="EAF0EC"/>
          </w:tcPr>
          <w:p>
            <w:pPr>
              <w:spacing w:after="80" w:before="60"/>
            </w:pPr>
            <w:r>
              <w:rPr>
                <w:b/>
                <w:sz w:val="19"/>
              </w:rPr>
              <w:t>What it means</w:t>
            </w:r>
          </w:p>
        </w:tc>
      </w:tr>
      <w:tr>
        <w:trPr>
          <w:cantSplit/>
        </w:trPr>
        <w:tc>
          <w:tcPr>
            <w:tcW w:type="dxa" w:w="2736"/>
          </w:tcPr>
          <w:p>
            <w:pPr>
              <w:spacing w:after="80" w:before="60"/>
            </w:pPr>
            <w:r>
              <w:rPr>
                <w:sz w:val="19"/>
              </w:rPr>
              <w:t>assertedSubject</w:t>
            </w:r>
          </w:p>
        </w:tc>
        <w:tc>
          <w:tcPr>
            <w:tcW w:type="dxa" w:w="7488"/>
          </w:tcPr>
          <w:p>
            <w:pPr>
              <w:spacing w:after="80" w:before="60"/>
            </w:pPr>
            <w:r>
              <w:rPr>
                <w:sz w:val="19"/>
              </w:rPr>
              <w:t>The record being described, such as instrument S1.</w:t>
            </w:r>
          </w:p>
        </w:tc>
      </w:tr>
      <w:tr>
        <w:trPr>
          <w:cantSplit/>
        </w:trPr>
        <w:tc>
          <w:tcPr>
            <w:tcW w:type="dxa" w:w="2736"/>
          </w:tcPr>
          <w:p>
            <w:pPr>
              <w:spacing w:after="80" w:before="60"/>
            </w:pPr>
            <w:r>
              <w:rPr>
                <w:sz w:val="19"/>
              </w:rPr>
              <w:t>assertedPredicate</w:t>
            </w:r>
          </w:p>
        </w:tc>
        <w:tc>
          <w:tcPr>
            <w:tcW w:type="dxa" w:w="7488"/>
          </w:tcPr>
          <w:p>
            <w:pPr>
              <w:spacing w:after="80" w:before="60"/>
            </w:pPr>
            <w:r>
              <w:rPr>
                <w:sz w:val="19"/>
              </w:rPr>
              <w:t>The named field, such as fundedDate. It is not code or an instruction.</w:t>
            </w:r>
          </w:p>
        </w:tc>
      </w:tr>
      <w:tr>
        <w:trPr>
          <w:cantSplit/>
        </w:trPr>
        <w:tc>
          <w:tcPr>
            <w:tcW w:type="dxa" w:w="2736"/>
          </w:tcPr>
          <w:p>
            <w:pPr>
              <w:spacing w:after="80" w:before="60"/>
            </w:pPr>
            <w:r>
              <w:rPr>
                <w:sz w:val="19"/>
              </w:rPr>
              <w:t>valueState</w:t>
            </w:r>
          </w:p>
        </w:tc>
        <w:tc>
          <w:tcPr>
            <w:tcW w:type="dxa" w:w="7488"/>
          </w:tcPr>
          <w:p>
            <w:pPr>
              <w:spacing w:after="80" w:before="60"/>
            </w:pPr>
            <w:r>
              <w:rPr>
                <w:sz w:val="19"/>
              </w:rPr>
              <w:t>Whether a value is known, missing, not applicable or conflicting.</w:t>
            </w:r>
          </w:p>
        </w:tc>
      </w:tr>
      <w:tr>
        <w:trPr>
          <w:cantSplit/>
        </w:trPr>
        <w:tc>
          <w:tcPr>
            <w:tcW w:type="dxa" w:w="2736"/>
          </w:tcPr>
          <w:p>
            <w:pPr>
              <w:spacing w:after="80" w:before="60"/>
            </w:pPr>
            <w:r>
              <w:rPr>
                <w:sz w:val="19"/>
              </w:rPr>
              <w:t>literalValue or resourceValue</w:t>
            </w:r>
          </w:p>
        </w:tc>
        <w:tc>
          <w:tcPr>
            <w:tcW w:type="dxa" w:w="7488"/>
          </w:tcPr>
          <w:p>
            <w:pPr>
              <w:spacing w:after="80" w:before="60"/>
            </w:pPr>
            <w:r>
              <w:rPr>
                <w:sz w:val="19"/>
              </w:rPr>
              <w:t>The actual value, such as a date, or the ID of a linked record. Use one known value representation.</w:t>
            </w:r>
          </w:p>
        </w:tc>
      </w:tr>
      <w:tr>
        <w:trPr>
          <w:cantSplit/>
        </w:trPr>
        <w:tc>
          <w:tcPr>
            <w:tcW w:type="dxa" w:w="2736"/>
          </w:tcPr>
          <w:p>
            <w:pPr>
              <w:spacing w:after="80" w:before="60"/>
            </w:pPr>
            <w:r>
              <w:rPr>
                <w:sz w:val="19"/>
              </w:rPr>
              <w:t>authorityState</w:t>
            </w:r>
          </w:p>
        </w:tc>
        <w:tc>
          <w:tcPr>
            <w:tcW w:type="dxa" w:w="7488"/>
          </w:tcPr>
          <w:p>
            <w:pPr>
              <w:spacing w:after="80" w:before="60"/>
            </w:pPr>
            <w:r>
              <w:rPr>
                <w:sz w:val="19"/>
              </w:rPr>
              <w:t>Whether the information is unreviewed, confirmed, disputed or rejected.</w:t>
            </w:r>
          </w:p>
        </w:tc>
      </w:tr>
      <w:tr>
        <w:trPr>
          <w:cantSplit/>
        </w:trPr>
        <w:tc>
          <w:tcPr>
            <w:tcW w:type="dxa" w:w="2736"/>
          </w:tcPr>
          <w:p>
            <w:pPr>
              <w:spacing w:after="80" w:before="60"/>
            </w:pPr>
            <w:r>
              <w:rPr>
                <w:sz w:val="19"/>
              </w:rPr>
              <w:t>evidence</w:t>
            </w:r>
          </w:p>
        </w:tc>
        <w:tc>
          <w:tcPr>
            <w:tcW w:type="dxa" w:w="7488"/>
          </w:tcPr>
          <w:p>
            <w:pPr>
              <w:spacing w:after="80" w:before="60"/>
            </w:pPr>
            <w:r>
              <w:rPr>
                <w:sz w:val="19"/>
              </w:rPr>
              <w:t>The source cell or confirmation that supports the claim.</w:t>
            </w:r>
          </w:p>
        </w:tc>
      </w:tr>
      <w:tr>
        <w:trPr>
          <w:cantSplit/>
        </w:trPr>
        <w:tc>
          <w:tcPr>
            <w:tcW w:type="dxa" w:w="2736"/>
          </w:tcPr>
          <w:p>
            <w:pPr>
              <w:spacing w:after="80" w:before="60"/>
            </w:pPr>
            <w:r>
              <w:rPr>
                <w:sz w:val="19"/>
              </w:rPr>
              <w:t>recordedAt</w:t>
            </w:r>
          </w:p>
        </w:tc>
        <w:tc>
          <w:tcPr>
            <w:tcW w:type="dxa" w:w="7488"/>
          </w:tcPr>
          <w:p>
            <w:pPr>
              <w:spacing w:after="80" w:before="60"/>
            </w:pPr>
            <w:r>
              <w:rPr>
                <w:sz w:val="19"/>
              </w:rPr>
              <w:t>When the application learned this information, not when the investment happened.</w:t>
            </w:r>
          </w:p>
        </w:tc>
      </w:tr>
    </w:tbl>
    <w:p>
      <w:pPr>
        <w:spacing w:after="0"/>
      </w:pPr>
    </w:p>
    <w:p>
      <w:pPr>
        <w:pStyle w:val="Heading2"/>
      </w:pPr>
      <w:r>
        <w:t>Acceptance check</w:t>
      </w:r>
    </w:p>
    <w:p>
      <w:r>
        <w:t>Every material answer must be traceable to these fact records and calculation results. If the agent says the SAFE was funded on 5 March, a reviewer must be able to open the supporting confirmation. An explanation generated by the model is not itself supporting evidence.</w:t>
      </w:r>
    </w:p>
    <w:p>
      <w:r>
        <w:br w:type="page"/>
      </w:r>
    </w:p>
    <w:p>
      <w:pPr>
        <w:pStyle w:val="Heading1"/>
      </w:pPr>
      <w:r>
        <w:t>13 Build the spreadsheet import step by step</w:t>
      </w:r>
    </w:p>
    <w:p>
      <w:r>
        <w:t>1. Save the original file and a file checksum, a fingerprint used to recognize the same file. Preserve sheet names and cell coordinates. Do not execute uploaded macros or arbitrary formulas.</w:t>
      </w:r>
    </w:p>
    <w:p>
      <w:r>
        <w:t>2. Identify data regions, headers, totals and hidden rows. Show a mapping preview before accepting records. A total row must not become another investor.</w:t>
      </w:r>
    </w:p>
    <w:p>
      <w:r>
        <w:t>3. Map each column to a named field. The model may suggest the mapping, but service code validates the field type, unit and permitted record type.</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Spreadsheet value</w:t>
            </w:r>
          </w:p>
        </w:tc>
        <w:tc>
          <w:tcPr>
            <w:tcW w:type="dxa" w:w="3888"/>
            <w:shd w:fill="EAF0EC"/>
          </w:tcPr>
          <w:p>
            <w:pPr>
              <w:spacing w:after="80" w:before="60"/>
            </w:pPr>
            <w:r>
              <w:rPr>
                <w:b/>
                <w:sz w:val="19"/>
              </w:rPr>
              <w:t>Mapped field</w:t>
            </w:r>
          </w:p>
        </w:tc>
        <w:tc>
          <w:tcPr>
            <w:tcW w:type="dxa" w:w="4104"/>
            <w:shd w:fill="EAF0EC"/>
          </w:tcPr>
          <w:p>
            <w:pPr>
              <w:spacing w:after="80" w:before="60"/>
            </w:pPr>
            <w:r>
              <w:rPr>
                <w:b/>
                <w:sz w:val="19"/>
              </w:rPr>
              <w:t>Required handling</w:t>
            </w:r>
          </w:p>
        </w:tc>
      </w:tr>
      <w:tr>
        <w:trPr>
          <w:cantSplit/>
        </w:trPr>
        <w:tc>
          <w:tcPr>
            <w:tcW w:type="dxa" w:w="2232"/>
          </w:tcPr>
          <w:p>
            <w:pPr>
              <w:spacing w:after="80" w:before="60"/>
            </w:pPr>
            <w:r>
              <w:rPr>
                <w:sz w:val="19"/>
              </w:rPr>
              <w:t>Lina</w:t>
            </w:r>
          </w:p>
        </w:tc>
        <w:tc>
          <w:tcPr>
            <w:tcW w:type="dxa" w:w="3888"/>
          </w:tcPr>
          <w:p>
            <w:pPr>
              <w:spacing w:after="80" w:before="60"/>
            </w:pPr>
            <w:r>
              <w:rPr>
                <w:sz w:val="19"/>
              </w:rPr>
              <w:t>holder reference</w:t>
            </w:r>
          </w:p>
        </w:tc>
        <w:tc>
          <w:tcPr>
            <w:tcW w:type="dxa" w:w="4104"/>
          </w:tcPr>
          <w:p>
            <w:pPr>
              <w:spacing w:after="80" w:before="60"/>
            </w:pPr>
            <w:r>
              <w:rPr>
                <w:sz w:val="19"/>
              </w:rPr>
              <w:t>Match a scoped existing ID or ask which holder to use.</w:t>
            </w:r>
          </w:p>
        </w:tc>
      </w:tr>
      <w:tr>
        <w:trPr>
          <w:cantSplit/>
        </w:trPr>
        <w:tc>
          <w:tcPr>
            <w:tcW w:type="dxa" w:w="2232"/>
          </w:tcPr>
          <w:p>
            <w:pPr>
              <w:spacing w:after="80" w:before="60"/>
            </w:pPr>
            <w:r>
              <w:rPr>
                <w:sz w:val="19"/>
              </w:rPr>
              <w:t>SAFE</w:t>
            </w:r>
          </w:p>
        </w:tc>
        <w:tc>
          <w:tcPr>
            <w:tcW w:type="dxa" w:w="3888"/>
          </w:tcPr>
          <w:p>
            <w:pPr>
              <w:spacing w:after="80" w:before="60"/>
            </w:pPr>
            <w:r>
              <w:rPr>
                <w:sz w:val="19"/>
              </w:rPr>
              <w:t>instrument type</w:t>
            </w:r>
          </w:p>
        </w:tc>
        <w:tc>
          <w:tcPr>
            <w:tcW w:type="dxa" w:w="4104"/>
          </w:tcPr>
          <w:p>
            <w:pPr>
              <w:spacing w:after="80" w:before="60"/>
            </w:pPr>
            <w:r>
              <w:rPr>
                <w:sz w:val="19"/>
              </w:rPr>
              <w:t>Confirm the type if the label or economics are ambiguous.</w:t>
            </w:r>
          </w:p>
        </w:tc>
      </w:tr>
      <w:tr>
        <w:trPr>
          <w:cantSplit/>
        </w:trPr>
        <w:tc>
          <w:tcPr>
            <w:tcW w:type="dxa" w:w="2232"/>
          </w:tcPr>
          <w:p>
            <w:pPr>
              <w:spacing w:after="80" w:before="60"/>
            </w:pPr>
            <w:r>
              <w:rPr>
                <w:sz w:val="19"/>
              </w:rPr>
              <w:t>$1,000,000</w:t>
            </w:r>
          </w:p>
        </w:tc>
        <w:tc>
          <w:tcPr>
            <w:tcW w:type="dxa" w:w="3888"/>
          </w:tcPr>
          <w:p>
            <w:pPr>
              <w:spacing w:after="80" w:before="60"/>
            </w:pPr>
            <w:r>
              <w:rPr>
                <w:sz w:val="19"/>
              </w:rPr>
              <w:t>investment amount in USD</w:t>
            </w:r>
          </w:p>
        </w:tc>
        <w:tc>
          <w:tcPr>
            <w:tcW w:type="dxa" w:w="4104"/>
          </w:tcPr>
          <w:p>
            <w:pPr>
              <w:spacing w:after="80" w:before="60"/>
            </w:pPr>
            <w:r>
              <w:rPr>
                <w:sz w:val="19"/>
              </w:rPr>
              <w:t>Preserve currency; do not map to share quantity.</w:t>
            </w:r>
          </w:p>
        </w:tc>
      </w:tr>
      <w:tr>
        <w:trPr>
          <w:cantSplit/>
        </w:trPr>
        <w:tc>
          <w:tcPr>
            <w:tcW w:type="dxa" w:w="2232"/>
          </w:tcPr>
          <w:p>
            <w:pPr>
              <w:spacing w:after="80" w:before="60"/>
            </w:pPr>
            <w:r>
              <w:rPr>
                <w:sz w:val="19"/>
              </w:rPr>
              <w:t>Blank funding date</w:t>
            </w:r>
          </w:p>
        </w:tc>
        <w:tc>
          <w:tcPr>
            <w:tcW w:type="dxa" w:w="3888"/>
          </w:tcPr>
          <w:p>
            <w:pPr>
              <w:spacing w:after="80" w:before="60"/>
            </w:pPr>
            <w:r>
              <w:rPr>
                <w:sz w:val="19"/>
              </w:rPr>
              <w:t>funded_date UNKNOWN</w:t>
            </w:r>
          </w:p>
        </w:tc>
        <w:tc>
          <w:tcPr>
            <w:tcW w:type="dxa" w:w="4104"/>
          </w:tcPr>
          <w:p>
            <w:pPr>
              <w:spacing w:after="80" w:before="60"/>
            </w:pPr>
            <w:r>
              <w:rPr>
                <w:sz w:val="19"/>
              </w:rPr>
              <w:t>Keep it missing and flag any conversion task requiring it.</w:t>
            </w:r>
          </w:p>
        </w:tc>
      </w:tr>
      <w:tr>
        <w:trPr>
          <w:cantSplit/>
        </w:trPr>
        <w:tc>
          <w:tcPr>
            <w:tcW w:type="dxa" w:w="2232"/>
          </w:tcPr>
          <w:p>
            <w:pPr>
              <w:spacing w:after="80" w:before="60"/>
            </w:pPr>
            <w:r>
              <w:rPr>
                <w:sz w:val="19"/>
              </w:rPr>
              <w:t>20</w:t>
            </w:r>
          </w:p>
        </w:tc>
        <w:tc>
          <w:tcPr>
            <w:tcW w:type="dxa" w:w="3888"/>
          </w:tcPr>
          <w:p>
            <w:pPr>
              <w:spacing w:after="80" w:before="60"/>
            </w:pPr>
            <w:r>
              <w:rPr>
                <w:sz w:val="19"/>
              </w:rPr>
              <w:t>discount percentage</w:t>
            </w:r>
          </w:p>
        </w:tc>
        <w:tc>
          <w:tcPr>
            <w:tcW w:type="dxa" w:w="4104"/>
          </w:tcPr>
          <w:p>
            <w:pPr>
              <w:spacing w:after="80" w:before="60"/>
            </w:pPr>
            <w:r>
              <w:rPr>
                <w:sz w:val="19"/>
              </w:rPr>
              <w:t>Ask whether this means 20% if the unit is not stated.</w:t>
            </w:r>
          </w:p>
        </w:tc>
      </w:tr>
    </w:tbl>
    <w:p>
      <w:pPr>
        <w:spacing w:after="0"/>
      </w:pPr>
    </w:p>
    <w:p>
      <w:r>
        <w:t>4. Preserve each source value alongside the normalized value. Normalization means converting formats, such as a currency-formatted string into a typed amount; it does not mean inventing missing facts.</w:t>
      </w:r>
    </w:p>
    <w:p>
      <w:r>
        <w:t>5. Ask whether the file is an opening position, a proposed replacement of current data or a list of new transactions. Missing rows in a new file do not automatically cancel existing investments.</w:t>
      </w:r>
    </w:p>
    <w:p>
      <w:r>
        <w:t>6. Detect likely duplicates using stable source IDs and contents. Show ambiguous matches for review. Identical amounts alone do not prove two investments are duplicates.</w:t>
      </w:r>
    </w:p>
    <w:p>
      <w:r>
        <w:t>7. Preview the proposed cap table and unresolved issues. Commit accepted changes only through the backend approval process. Then build the graph from the approved records.</w:t>
      </w:r>
    </w:p>
    <w:p>
      <w:r>
        <w:t>Pass condition: every imported field is mapped, explicitly preserved as a custom field or explicitly excluded with a reason. Nothing material disappears silently.</w:t>
      </w:r>
    </w:p>
    <w:p>
      <w:r>
        <w:br w:type="page"/>
      </w:r>
    </w:p>
    <w:p>
      <w:pPr>
        <w:pStyle w:val="Heading1"/>
      </w:pPr>
      <w:r>
        <w:t>14 Detect the SAFE issue without making assumptions</w:t>
      </w:r>
    </w:p>
    <w:p>
      <w:r>
        <w:t>Implement a coded investigation rule. The agent supplies the question and explains the result, but service code evaluates the conditions. Start with same-company financing closes and the confirmed rules of this exact SAFE.</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Condition</w:t>
            </w:r>
          </w:p>
        </w:tc>
        <w:tc>
          <w:tcPr>
            <w:tcW w:type="dxa" w:w="3888"/>
            <w:shd w:fill="EAF0EC"/>
          </w:tcPr>
          <w:p>
            <w:pPr>
              <w:spacing w:after="80" w:before="60"/>
            </w:pPr>
            <w:r>
              <w:rPr>
                <w:b/>
                <w:sz w:val="19"/>
              </w:rPr>
              <w:t>Return to the agent</w:t>
            </w:r>
          </w:p>
        </w:tc>
        <w:tc>
          <w:tcPr>
            <w:tcW w:type="dxa" w:w="4104"/>
            <w:shd w:fill="EAF0EC"/>
          </w:tcPr>
          <w:p>
            <w:pPr>
              <w:spacing w:after="80" w:before="60"/>
            </w:pPr>
            <w:r>
              <w:rPr>
                <w:b/>
                <w:sz w:val="19"/>
              </w:rPr>
              <w:t>Recommended next action</w:t>
            </w:r>
          </w:p>
        </w:tc>
      </w:tr>
      <w:tr>
        <w:trPr>
          <w:cantSplit/>
        </w:trPr>
        <w:tc>
          <w:tcPr>
            <w:tcW w:type="dxa" w:w="2232"/>
          </w:tcPr>
          <w:p>
            <w:pPr>
              <w:spacing w:after="80" w:before="60"/>
            </w:pPr>
            <w:r>
              <w:rPr>
                <w:sz w:val="19"/>
              </w:rPr>
              <w:t>Required funding date is missing.</w:t>
            </w:r>
          </w:p>
        </w:tc>
        <w:tc>
          <w:tcPr>
            <w:tcW w:type="dxa" w:w="3888"/>
          </w:tcPr>
          <w:p>
            <w:pPr>
              <w:spacing w:after="80" w:before="60"/>
            </w:pPr>
            <w:r>
              <w:rPr>
                <w:sz w:val="19"/>
              </w:rPr>
              <w:t>NEEDS_INPUT; cannot establish timing.</w:t>
            </w:r>
          </w:p>
        </w:tc>
        <w:tc>
          <w:tcPr>
            <w:tcW w:type="dxa" w:w="4104"/>
          </w:tcPr>
          <w:p>
            <w:pPr>
              <w:spacing w:after="80" w:before="60"/>
            </w:pPr>
            <w:r>
              <w:rPr>
                <w:sz w:val="19"/>
              </w:rPr>
              <w:t>Ask for the date and confirmation evidence.</w:t>
            </w:r>
          </w:p>
        </w:tc>
      </w:tr>
      <w:tr>
        <w:trPr>
          <w:cantSplit/>
        </w:trPr>
        <w:tc>
          <w:tcPr>
            <w:tcW w:type="dxa" w:w="2232"/>
          </w:tcPr>
          <w:p>
            <w:pPr>
              <w:spacing w:after="80" w:before="60"/>
            </w:pPr>
            <w:r>
              <w:rPr>
                <w:sz w:val="19"/>
              </w:rPr>
              <w:t>SAFE is confirmed after this close.</w:t>
            </w:r>
          </w:p>
        </w:tc>
        <w:tc>
          <w:tcPr>
            <w:tcW w:type="dxa" w:w="3888"/>
          </w:tcPr>
          <w:p>
            <w:pPr>
              <w:spacing w:after="80" w:before="60"/>
            </w:pPr>
            <w:r>
              <w:rPr>
                <w:sz w:val="19"/>
              </w:rPr>
              <w:t>Not eligible under this example trigger.</w:t>
            </w:r>
          </w:p>
        </w:tc>
        <w:tc>
          <w:tcPr>
            <w:tcW w:type="dxa" w:w="4104"/>
          </w:tcPr>
          <w:p>
            <w:pPr>
              <w:spacing w:after="80" w:before="60"/>
            </w:pPr>
            <w:r>
              <w:rPr>
                <w:sz w:val="19"/>
              </w:rPr>
              <w:t>Retain it and check any later relevant closes.</w:t>
            </w:r>
          </w:p>
        </w:tc>
      </w:tr>
      <w:tr>
        <w:trPr>
          <w:cantSplit/>
        </w:trPr>
        <w:tc>
          <w:tcPr>
            <w:tcW w:type="dxa" w:w="2232"/>
          </w:tcPr>
          <w:p>
            <w:pPr>
              <w:spacing w:after="80" w:before="60"/>
            </w:pPr>
            <w:r>
              <w:rPr>
                <w:sz w:val="19"/>
              </w:rPr>
              <w:t>Funding and close are on the same date with unclear order.</w:t>
            </w:r>
          </w:p>
        </w:tc>
        <w:tc>
          <w:tcPr>
            <w:tcW w:type="dxa" w:w="3888"/>
          </w:tcPr>
          <w:p>
            <w:pPr>
              <w:spacing w:after="80" w:before="60"/>
            </w:pPr>
            <w:r>
              <w:rPr>
                <w:sz w:val="19"/>
              </w:rPr>
              <w:t>NEEDS_INPUT; date alone is insufficient.</w:t>
            </w:r>
          </w:p>
        </w:tc>
        <w:tc>
          <w:tcPr>
            <w:tcW w:type="dxa" w:w="4104"/>
          </w:tcPr>
          <w:p>
            <w:pPr>
              <w:spacing w:after="80" w:before="60"/>
            </w:pPr>
            <w:r>
              <w:rPr>
                <w:sz w:val="19"/>
              </w:rPr>
              <w:t>Ask whether this SAFE was included at that close.</w:t>
            </w:r>
          </w:p>
        </w:tc>
      </w:tr>
      <w:tr>
        <w:trPr>
          <w:cantSplit/>
        </w:trPr>
        <w:tc>
          <w:tcPr>
            <w:tcW w:type="dxa" w:w="2232"/>
          </w:tcPr>
          <w:p>
            <w:pPr>
              <w:spacing w:after="80" w:before="60"/>
            </w:pPr>
            <w:r>
              <w:rPr>
                <w:sz w:val="19"/>
              </w:rPr>
              <w:t>Timing fits but trigger terms are missing.</w:t>
            </w:r>
          </w:p>
        </w:tc>
        <w:tc>
          <w:tcPr>
            <w:tcW w:type="dxa" w:w="3888"/>
          </w:tcPr>
          <w:p>
            <w:pPr>
              <w:spacing w:after="80" w:before="60"/>
            </w:pPr>
            <w:r>
              <w:rPr>
                <w:sz w:val="19"/>
              </w:rPr>
              <w:t>NEEDS_INPUT; timing is only one condition.</w:t>
            </w:r>
          </w:p>
        </w:tc>
        <w:tc>
          <w:tcPr>
            <w:tcW w:type="dxa" w:w="4104"/>
          </w:tcPr>
          <w:p>
            <w:pPr>
              <w:spacing w:after="80" w:before="60"/>
            </w:pPr>
            <w:r>
              <w:rPr>
                <w:sz w:val="19"/>
              </w:rPr>
              <w:t>Ask for the qualifying-event conditions.</w:t>
            </w:r>
          </w:p>
        </w:tc>
      </w:tr>
      <w:tr>
        <w:trPr>
          <w:cantSplit/>
        </w:trPr>
        <w:tc>
          <w:tcPr>
            <w:tcW w:type="dxa" w:w="2232"/>
          </w:tcPr>
          <w:p>
            <w:pPr>
              <w:spacing w:after="80" w:before="60"/>
            </w:pPr>
            <w:r>
              <w:rPr>
                <w:sz w:val="19"/>
              </w:rPr>
              <w:t>Trigger fits and a full conversion is recorded.</w:t>
            </w:r>
          </w:p>
        </w:tc>
        <w:tc>
          <w:tcPr>
            <w:tcW w:type="dxa" w:w="3888"/>
          </w:tcPr>
          <w:p>
            <w:pPr>
              <w:spacing w:after="80" w:before="60"/>
            </w:pPr>
            <w:r>
              <w:rPr>
                <w:sz w:val="19"/>
              </w:rPr>
              <w:t>Existing conversion found.</w:t>
            </w:r>
          </w:p>
        </w:tc>
        <w:tc>
          <w:tcPr>
            <w:tcW w:type="dxa" w:w="4104"/>
          </w:tcPr>
          <w:p>
            <w:pPr>
              <w:spacing w:after="80" w:before="60"/>
            </w:pPr>
            <w:r>
              <w:rPr>
                <w:sz w:val="19"/>
              </w:rPr>
              <w:t>Check remaining balance and link or correct display records.</w:t>
            </w:r>
          </w:p>
        </w:tc>
      </w:tr>
      <w:tr>
        <w:trPr>
          <w:cantSplit/>
        </w:trPr>
        <w:tc>
          <w:tcPr>
            <w:tcW w:type="dxa" w:w="2232"/>
          </w:tcPr>
          <w:p>
            <w:pPr>
              <w:spacing w:after="80" w:before="60"/>
            </w:pPr>
            <w:r>
              <w:rPr>
                <w:sz w:val="19"/>
              </w:rPr>
              <w:t>Trigger fits and a partial conversion is recorded.</w:t>
            </w:r>
          </w:p>
        </w:tc>
        <w:tc>
          <w:tcPr>
            <w:tcW w:type="dxa" w:w="3888"/>
          </w:tcPr>
          <w:p>
            <w:pPr>
              <w:spacing w:after="80" w:before="60"/>
            </w:pPr>
            <w:r>
              <w:rPr>
                <w:sz w:val="19"/>
              </w:rPr>
              <w:t>Remaining balance needs review.</w:t>
            </w:r>
          </w:p>
        </w:tc>
        <w:tc>
          <w:tcPr>
            <w:tcW w:type="dxa" w:w="4104"/>
          </w:tcPr>
          <w:p>
            <w:pPr>
              <w:spacing w:after="80" w:before="60"/>
            </w:pPr>
            <w:r>
              <w:rPr>
                <w:sz w:val="19"/>
              </w:rPr>
              <w:t>Reconcile original, converted and remaining amounts.</w:t>
            </w:r>
          </w:p>
        </w:tc>
      </w:tr>
      <w:tr>
        <w:trPr>
          <w:cantSplit/>
        </w:trPr>
        <w:tc>
          <w:tcPr>
            <w:tcW w:type="dxa" w:w="2232"/>
          </w:tcPr>
          <w:p>
            <w:pPr>
              <w:spacing w:after="80" w:before="60"/>
            </w:pPr>
            <w:r>
              <w:rPr>
                <w:sz w:val="19"/>
              </w:rPr>
              <w:t>Trigger fits but no conversion is recorded.</w:t>
            </w:r>
          </w:p>
        </w:tc>
        <w:tc>
          <w:tcPr>
            <w:tcW w:type="dxa" w:w="3888"/>
          </w:tcPr>
          <w:p>
            <w:pPr>
              <w:spacing w:after="80" w:before="60"/>
            </w:pPr>
            <w:r>
              <w:rPr>
                <w:sz w:val="19"/>
              </w:rPr>
              <w:t>Possible missing conversion record.</w:t>
            </w:r>
          </w:p>
        </w:tc>
        <w:tc>
          <w:tcPr>
            <w:tcW w:type="dxa" w:w="4104"/>
          </w:tcPr>
          <w:p>
            <w:pPr>
              <w:spacing w:after="80" w:before="60"/>
            </w:pPr>
            <w:r>
              <w:rPr>
                <w:sz w:val="19"/>
              </w:rPr>
              <w:t>Check history completeness and ask what legally happened.</w:t>
            </w:r>
          </w:p>
        </w:tc>
      </w:tr>
      <w:tr>
        <w:trPr>
          <w:cantSplit/>
        </w:trPr>
        <w:tc>
          <w:tcPr>
            <w:tcW w:type="dxa" w:w="2232"/>
          </w:tcPr>
          <w:p>
            <w:pPr>
              <w:spacing w:after="80" w:before="60"/>
            </w:pPr>
            <w:r>
              <w:rPr>
                <w:sz w:val="19"/>
              </w:rPr>
              <w:t>Authoritative term versions disagree.</w:t>
            </w:r>
          </w:p>
        </w:tc>
        <w:tc>
          <w:tcPr>
            <w:tcW w:type="dxa" w:w="3888"/>
          </w:tcPr>
          <w:p>
            <w:pPr>
              <w:spacing w:after="80" w:before="60"/>
            </w:pPr>
            <w:r>
              <w:rPr>
                <w:sz w:val="19"/>
              </w:rPr>
              <w:t>CONFLICT.</w:t>
            </w:r>
          </w:p>
        </w:tc>
        <w:tc>
          <w:tcPr>
            <w:tcW w:type="dxa" w:w="4104"/>
          </w:tcPr>
          <w:p>
            <w:pPr>
              <w:spacing w:after="80" w:before="60"/>
            </w:pPr>
            <w:r>
              <w:rPr>
                <w:sz w:val="19"/>
              </w:rPr>
              <w:t>Request a reviewer decision before calculating a correction.</w:t>
            </w:r>
          </w:p>
        </w:tc>
      </w:tr>
    </w:tbl>
    <w:p>
      <w:pPr>
        <w:spacing w:after="0"/>
      </w:pPr>
    </w:p>
    <w:p>
      <w:pPr>
        <w:pStyle w:val="Heading2"/>
      </w:pPr>
      <w:r>
        <w:t>What no conversion found means</w:t>
      </w:r>
    </w:p>
    <w:p>
      <w:r>
        <w:t>A spreadsheet containing only current holdings may omit all historical conversions. Searching that file and finding no conversion proves only that the file has no such record. Store whether the relevant history is complete, partial or unknown. Even complete application history does not itself prove that no legal event occurred outside the application.</w:t>
      </w:r>
    </w:p>
    <w:p>
      <w:r>
        <w:t>The agent should say “I found no recorded conversion in the supplied history” and ask for confirmation. It must not say “the SAFE definitely never converted” merely because a graph search returned no matches.</w:t>
      </w:r>
    </w:p>
    <w:p>
      <w:r>
        <w:br w:type="page"/>
      </w:r>
    </w:p>
    <w:p>
      <w:pPr>
        <w:pStyle w:val="Heading1"/>
      </w:pPr>
      <w:r>
        <w:t>15 Handle dates and corrections in understandable terms</w:t>
      </w:r>
    </w:p>
    <w:p>
      <w:r>
        <w:t>We need two different questions: “What was true on this date?” and “What did we know when we produced the report?” The technical names are as_of and known_at. Keeping them separate prevents a later correction from silently rewriting old reports.</w:t>
      </w:r>
    </w:p>
    <w:tbl>
      <w:tblPr>
        <w:tblW w:type="auto" w:w="0"/>
        <w:tblLayout w:type="fixed"/>
        <w:tblLook w:firstColumn="1" w:firstRow="1" w:lastColumn="0" w:lastRow="0" w:noHBand="0" w:noVBand="1" w:val="04A0"/>
      </w:tblPr>
      <w:tblGrid>
        <w:gridCol w:w="2736"/>
        <w:gridCol w:w="7488"/>
      </w:tblGrid>
      <w:tr>
        <w:trPr>
          <w:cantSplit/>
          <w:tblHeader/>
        </w:trPr>
        <w:tc>
          <w:tcPr>
            <w:tcW w:type="dxa" w:w="2736"/>
            <w:shd w:fill="EAF0EC"/>
          </w:tcPr>
          <w:p>
            <w:pPr>
              <w:spacing w:after="80" w:before="60"/>
            </w:pPr>
            <w:r>
              <w:rPr>
                <w:b/>
                <w:sz w:val="19"/>
              </w:rPr>
              <w:t>Request</w:t>
            </w:r>
          </w:p>
        </w:tc>
        <w:tc>
          <w:tcPr>
            <w:tcW w:type="dxa" w:w="7488"/>
            <w:shd w:fill="EAF0EC"/>
          </w:tcPr>
          <w:p>
            <w:pPr>
              <w:spacing w:after="80" w:before="60"/>
            </w:pPr>
            <w:r>
              <w:rPr>
                <w:b/>
                <w:sz w:val="19"/>
              </w:rPr>
              <w:t>Bluebird result</w:t>
            </w:r>
          </w:p>
        </w:tc>
      </w:tr>
      <w:tr>
        <w:trPr>
          <w:cantSplit/>
        </w:trPr>
        <w:tc>
          <w:tcPr>
            <w:tcW w:type="dxa" w:w="2736"/>
          </w:tcPr>
          <w:p>
            <w:pPr>
              <w:spacing w:after="80" w:before="60"/>
            </w:pPr>
            <w:r>
              <w:rPr>
                <w:sz w:val="19"/>
              </w:rPr>
              <w:t>Company state on 1 July using information known on 10 July.</w:t>
            </w:r>
          </w:p>
        </w:tc>
        <w:tc>
          <w:tcPr>
            <w:tcW w:type="dxa" w:w="7488"/>
          </w:tcPr>
          <w:p>
            <w:pPr>
              <w:spacing w:after="80" w:before="60"/>
            </w:pPr>
            <w:r>
              <w:rPr>
                <w:sz w:val="19"/>
              </w:rPr>
              <w:t>Lina's funding date is unknown. The system cannot confirm conversion eligibility.</w:t>
            </w:r>
          </w:p>
        </w:tc>
      </w:tr>
      <w:tr>
        <w:trPr>
          <w:cantSplit/>
        </w:trPr>
        <w:tc>
          <w:tcPr>
            <w:tcW w:type="dxa" w:w="2736"/>
          </w:tcPr>
          <w:p>
            <w:pPr>
              <w:spacing w:after="80" w:before="60"/>
            </w:pPr>
            <w:r>
              <w:rPr>
                <w:sz w:val="19"/>
              </w:rPr>
              <w:t>Company state on 1 July using information known on 12 July.</w:t>
            </w:r>
          </w:p>
        </w:tc>
        <w:tc>
          <w:tcPr>
            <w:tcW w:type="dxa" w:w="7488"/>
          </w:tcPr>
          <w:p>
            <w:pPr>
              <w:spacing w:after="80" w:before="60"/>
            </w:pPr>
            <w:r>
              <w:rPr>
                <w:sz w:val="19"/>
              </w:rPr>
              <w:t>The reviewer-confirmed 5 March funding date is now available. Eligibility can be checked with the other required terms.</w:t>
            </w:r>
          </w:p>
        </w:tc>
      </w:tr>
      <w:tr>
        <w:trPr>
          <w:cantSplit/>
        </w:trPr>
        <w:tc>
          <w:tcPr>
            <w:tcW w:type="dxa" w:w="2736"/>
          </w:tcPr>
          <w:p>
            <w:pPr>
              <w:spacing w:after="80" w:before="60"/>
            </w:pPr>
            <w:r>
              <w:rPr>
                <w:sz w:val="19"/>
              </w:rPr>
              <w:t>Open the original 10 July report.</w:t>
            </w:r>
          </w:p>
        </w:tc>
        <w:tc>
          <w:tcPr>
            <w:tcW w:type="dxa" w:w="7488"/>
          </w:tcPr>
          <w:p>
            <w:pPr>
              <w:spacing w:after="80" w:before="60"/>
            </w:pPr>
            <w:r>
              <w:rPr>
                <w:sz w:val="19"/>
              </w:rPr>
              <w:t>Show its original facts and limitations, even though later information is better.</w:t>
            </w:r>
          </w:p>
        </w:tc>
      </w:tr>
    </w:tbl>
    <w:p>
      <w:pPr>
        <w:spacing w:after="0"/>
      </w:pPr>
    </w:p>
    <w:p>
      <w:pPr>
        <w:pStyle w:val="Heading2"/>
      </w:pPr>
      <w:r>
        <w:t>Developer implementation</w:t>
      </w:r>
    </w:p>
    <w:p>
      <w:r>
        <w:t>1. Store the date an investment or other business event happened separately from the timestamp the application recorded it.</w:t>
      </w:r>
    </w:p>
    <w:p>
      <w:r>
        <w:t>2. When information is corrected, append a new record linked to the old one. Do not destroy the old record.</w:t>
      </w:r>
    </w:p>
    <w:p>
      <w:r>
        <w:t>3. For a historical request, select only the information available by known_at, resolve corrections visible then and apply the business events through as_of.</w:t>
      </w:r>
    </w:p>
    <w:p>
      <w:r>
        <w:t>4. Preserve the requested dates and selected record IDs in the returned package and report.</w:t>
      </w:r>
    </w:p>
    <w:p>
      <w:pPr>
        <w:pStyle w:val="Heading2"/>
      </w:pPr>
      <w:r>
        <w:t>Date precision is a real requirement</w:t>
      </w:r>
    </w:p>
    <w:p>
      <w:r>
        <w:t>A date such as 30 June does not establish an exact time. Do not turn it into a fictional midnight execution time. If the sequence of a SAFE funding and a financing close changes eligibility, ask for the sequence or explicit inclusion confirmation. If an agreement changes from a future date, the new terms must not be used for earlier events unless an approved retroactive effect is established.</w:t>
      </w:r>
    </w:p>
    <w:p>
      <w:r>
        <w:t>Date handling selects the inputs. Interest accrual and other date-dependent arithmetic remain in the coded financial services.</w:t>
      </w:r>
    </w:p>
    <w:p>
      <w:r>
        <w:br w:type="page"/>
      </w:r>
    </w:p>
    <w:p>
      <w:pPr>
        <w:pStyle w:val="Heading1"/>
      </w:pPr>
      <w:r>
        <w:t>16 Validate structure meaning and calculation readiness</w:t>
      </w:r>
    </w:p>
    <w:p>
      <w:r>
        <w:t>Validation means checking whether data and actions satisfy explicit rules. There are several checks because a well-formed record can still be incomplete or financially incorrect.</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Check</w:t>
            </w:r>
          </w:p>
        </w:tc>
        <w:tc>
          <w:tcPr>
            <w:tcW w:type="dxa" w:w="3888"/>
            <w:shd w:fill="EAF0EC"/>
          </w:tcPr>
          <w:p>
            <w:pPr>
              <w:spacing w:after="80" w:before="60"/>
            </w:pPr>
            <w:r>
              <w:rPr>
                <w:b/>
                <w:sz w:val="19"/>
              </w:rPr>
              <w:t>Example</w:t>
            </w:r>
          </w:p>
        </w:tc>
        <w:tc>
          <w:tcPr>
            <w:tcW w:type="dxa" w:w="4104"/>
            <w:shd w:fill="EAF0EC"/>
          </w:tcPr>
          <w:p>
            <w:pPr>
              <w:spacing w:after="80" w:before="60"/>
            </w:pPr>
            <w:r>
              <w:rPr>
                <w:b/>
                <w:sz w:val="19"/>
              </w:rPr>
              <w:t>Implementation</w:t>
            </w:r>
          </w:p>
        </w:tc>
      </w:tr>
      <w:tr>
        <w:trPr>
          <w:cantSplit/>
        </w:trPr>
        <w:tc>
          <w:tcPr>
            <w:tcW w:type="dxa" w:w="2232"/>
          </w:tcPr>
          <w:p>
            <w:pPr>
              <w:spacing w:after="80" w:before="60"/>
            </w:pPr>
            <w:r>
              <w:rPr>
                <w:sz w:val="19"/>
              </w:rPr>
              <w:t>API structure</w:t>
            </w:r>
          </w:p>
        </w:tc>
        <w:tc>
          <w:tcPr>
            <w:tcW w:type="dxa" w:w="3888"/>
          </w:tcPr>
          <w:p>
            <w:pPr>
              <w:spacing w:after="80" w:before="60"/>
            </w:pPr>
            <w:r>
              <w:rPr>
                <w:sz w:val="19"/>
              </w:rPr>
              <w:t>A required instrument ID is absent.</w:t>
            </w:r>
          </w:p>
        </w:tc>
        <w:tc>
          <w:tcPr>
            <w:tcW w:type="dxa" w:w="4104"/>
          </w:tcPr>
          <w:p>
            <w:pPr>
              <w:spacing w:after="80" w:before="60"/>
            </w:pPr>
            <w:r>
              <w:rPr>
                <w:sz w:val="19"/>
              </w:rPr>
              <w:t>JSON Schema checks required fields, types and permitted choices.</w:t>
            </w:r>
          </w:p>
        </w:tc>
      </w:tr>
      <w:tr>
        <w:trPr>
          <w:cantSplit/>
        </w:trPr>
        <w:tc>
          <w:tcPr>
            <w:tcW w:type="dxa" w:w="2232"/>
          </w:tcPr>
          <w:p>
            <w:pPr>
              <w:spacing w:after="80" w:before="60"/>
            </w:pPr>
            <w:r>
              <w:rPr>
                <w:sz w:val="19"/>
              </w:rPr>
              <w:t>Graph structure</w:t>
            </w:r>
          </w:p>
        </w:tc>
        <w:tc>
          <w:tcPr>
            <w:tcW w:type="dxa" w:w="3888"/>
          </w:tcPr>
          <w:p>
            <w:pPr>
              <w:spacing w:after="80" w:before="60"/>
            </w:pPr>
            <w:r>
              <w:rPr>
                <w:sz w:val="19"/>
              </w:rPr>
              <w:t>A fact has no subject or known value, or points across company boundaries.</w:t>
            </w:r>
          </w:p>
        </w:tc>
        <w:tc>
          <w:tcPr>
            <w:tcW w:type="dxa" w:w="4104"/>
          </w:tcPr>
          <w:p>
            <w:pPr>
              <w:spacing w:after="80" w:before="60"/>
            </w:pPr>
            <w:r>
              <w:rPr>
                <w:sz w:val="19"/>
              </w:rPr>
              <w:t>SHACL checks selected graph rules; server authorization must also enforce scope.</w:t>
            </w:r>
          </w:p>
        </w:tc>
      </w:tr>
      <w:tr>
        <w:trPr>
          <w:cantSplit/>
        </w:trPr>
        <w:tc>
          <w:tcPr>
            <w:tcW w:type="dxa" w:w="2232"/>
          </w:tcPr>
          <w:p>
            <w:pPr>
              <w:spacing w:after="80" w:before="60"/>
            </w:pPr>
            <w:r>
              <w:rPr>
                <w:sz w:val="19"/>
              </w:rPr>
              <w:t>Business meaning</w:t>
            </w:r>
          </w:p>
        </w:tc>
        <w:tc>
          <w:tcPr>
            <w:tcW w:type="dxa" w:w="3888"/>
          </w:tcPr>
          <w:p>
            <w:pPr>
              <w:spacing w:after="80" w:before="60"/>
            </w:pPr>
            <w:r>
              <w:rPr>
                <w:sz w:val="19"/>
              </w:rPr>
              <w:t>A SAFE amount was mapped as issued shares.</w:t>
            </w:r>
          </w:p>
        </w:tc>
        <w:tc>
          <w:tcPr>
            <w:tcW w:type="dxa" w:w="4104"/>
          </w:tcPr>
          <w:p>
            <w:pPr>
              <w:spacing w:after="80" w:before="60"/>
            </w:pPr>
            <w:r>
              <w:rPr>
                <w:sz w:val="19"/>
              </w:rPr>
              <w:t>Coded semantic checks use the field dictionary and instrument type.</w:t>
            </w:r>
          </w:p>
        </w:tc>
      </w:tr>
      <w:tr>
        <w:trPr>
          <w:cantSplit/>
        </w:trPr>
        <w:tc>
          <w:tcPr>
            <w:tcW w:type="dxa" w:w="2232"/>
          </w:tcPr>
          <w:p>
            <w:pPr>
              <w:spacing w:after="80" w:before="60"/>
            </w:pPr>
            <w:r>
              <w:rPr>
                <w:sz w:val="19"/>
              </w:rPr>
              <w:t>Readiness for a task</w:t>
            </w:r>
          </w:p>
        </w:tc>
        <w:tc>
          <w:tcPr>
            <w:tcW w:type="dxa" w:w="3888"/>
          </w:tcPr>
          <w:p>
            <w:pPr>
              <w:spacing w:after="80" w:before="60"/>
            </w:pPr>
            <w:r>
              <w:rPr>
                <w:sz w:val="19"/>
              </w:rPr>
              <w:t>A conversion requires a funding date that is unknown.</w:t>
            </w:r>
          </w:p>
        </w:tc>
        <w:tc>
          <w:tcPr>
            <w:tcW w:type="dxa" w:w="4104"/>
          </w:tcPr>
          <w:p>
            <w:pPr>
              <w:spacing w:after="80" w:before="60"/>
            </w:pPr>
            <w:r>
              <w:rPr>
                <w:sz w:val="19"/>
              </w:rPr>
              <w:t>OCE checks the input requirements of the selected calculation module.</w:t>
            </w:r>
          </w:p>
        </w:tc>
      </w:tr>
      <w:tr>
        <w:trPr>
          <w:cantSplit/>
        </w:trPr>
        <w:tc>
          <w:tcPr>
            <w:tcW w:type="dxa" w:w="2232"/>
          </w:tcPr>
          <w:p>
            <w:pPr>
              <w:spacing w:after="80" w:before="60"/>
            </w:pPr>
            <w:r>
              <w:rPr>
                <w:sz w:val="19"/>
              </w:rPr>
              <w:t>Financial correctness</w:t>
            </w:r>
          </w:p>
        </w:tc>
        <w:tc>
          <w:tcPr>
            <w:tcW w:type="dxa" w:w="3888"/>
          </w:tcPr>
          <w:p>
            <w:pPr>
              <w:spacing w:after="80" w:before="60"/>
            </w:pPr>
            <w:r>
              <w:rPr>
                <w:sz w:val="19"/>
              </w:rPr>
              <w:t>A conversion exceeds the eligible remaining investment.</w:t>
            </w:r>
          </w:p>
        </w:tc>
        <w:tc>
          <w:tcPr>
            <w:tcW w:type="dxa" w:w="4104"/>
          </w:tcPr>
          <w:p>
            <w:pPr>
              <w:spacing w:after="80" w:before="60"/>
            </w:pPr>
            <w:r>
              <w:rPr>
                <w:sz w:val="19"/>
              </w:rPr>
              <w:t>Backend code checks quantities, balances, formulas and permitted terms.</w:t>
            </w:r>
          </w:p>
        </w:tc>
      </w:tr>
    </w:tbl>
    <w:p>
      <w:pPr>
        <w:spacing w:after="0"/>
      </w:pPr>
    </w:p>
    <w:p>
      <w:pPr>
        <w:pStyle w:val="Heading2"/>
      </w:pPr>
      <w:r>
        <w:t>What SHACL and OWL mean here</w:t>
      </w:r>
    </w:p>
    <w:p>
      <w:r>
        <w:t>SHACL is a standard way to write checks for graph data. The package contains example checks. An UNKNOWN date can be structurally valid because we deliberately recorded that it is missing. It still blocks a conversion that needs that date. OWL is a language for defining concepts and relationships. Use it for reviewed classifications, not for guessing dates or calculating money. [S3, S4]</w:t>
      </w:r>
    </w:p>
    <w:p>
      <w:pPr>
        <w:pStyle w:val="Heading2"/>
      </w:pPr>
      <w:r>
        <w:t>A field dictionary developers can maintain</w:t>
      </w:r>
    </w:p>
    <w:p>
      <w:r>
        <w:t>For each field, define its plain meaning, record type, data type, unit, whether zero is allowed, which tasks require it and what confirmation is needed. For example, investment_amount means money paid under the agreement; eligible_conversion_amount is separately determined by the backend. Do not collapse them into one ambiguous amount field.</w:t>
      </w:r>
    </w:p>
    <w:p>
      <w:r>
        <w:t>The starter checks are examples, not the complete validation system. Production checks must cover all approved relationship types, units, time overlaps, identity collisions, rights conflicts and supported calculation combinations.</w:t>
      </w:r>
    </w:p>
    <w:p>
      <w:r>
        <w:br w:type="page"/>
      </w:r>
    </w:p>
    <w:p>
      <w:pPr>
        <w:pStyle w:val="Heading1"/>
      </w:pPr>
      <w:r>
        <w:t>17 Specify exactly what OCE returns</w:t>
      </w:r>
    </w:p>
    <w:p>
      <w:r>
        <w:t>Before performing a task, the agent asks OCE for the facts required by that task. OCE returns a structured context package. This is a saved, identifiable set of selected facts, evidence and gaps for a specific company, task and data version.</w:t>
      </w:r>
    </w:p>
    <w:p>
      <w:pPr>
        <w:pStyle w:val="Heading2"/>
      </w:pPr>
      <w:r>
        <w:t>Example request while the funding date is unknown</w:t>
      </w:r>
    </w:p>
    <w:p>
      <w:r>
        <w:rPr>
          <w:rFonts w:ascii="DejaVu Sans Mono" w:hAnsi="DejaVu Sans Mono"/>
          <w:sz w:val="17"/>
        </w:rPr>
        <w:t>{</w:t>
        <w:br/>
        <w:t xml:space="preserve">  "company_id": "bluebird",</w:t>
        <w:br/>
        <w:t xml:space="preserve">  "purpose": "CONVERT",</w:t>
        <w:br/>
        <w:t xml:space="preserve">  "instrument_id": "S1",</w:t>
        <w:br/>
        <w:t xml:space="preserve">  "close_id": "series-a-close-1",</w:t>
        <w:br/>
        <w:t xml:space="preserve">  "snapshot_id": "snap-17",</w:t>
        <w:br/>
        <w:t xml:space="preserve">  "as_of": "2026-06-30",</w:t>
        <w:br/>
        <w:t xml:space="preserve">  "known_at": "2026-07-10T10:00:00Z"</w:t>
        <w:br/>
        <w:t>}</w:t>
      </w:r>
    </w:p>
    <w:p>
      <w:r>
        <w:t>A snapshot is a saved backend state with an ID. The request above uses a snapshot that includes the uploaded information while asking about the June event. The server derives the user and tenant from authentication, not from the prompt.</w:t>
      </w:r>
    </w:p>
    <w:p>
      <w:pPr>
        <w:pStyle w:val="Heading2"/>
      </w:pPr>
      <w:r>
        <w:t>Readable summary of the response</w:t>
      </w:r>
    </w:p>
    <w:p>
      <w:r>
        <w:rPr>
          <w:rFonts w:ascii="DejaVu Sans Mono" w:hAnsi="DejaVu Sans Mono"/>
          <w:sz w:val="17"/>
        </w:rPr>
        <w:t>status: NEEDS_INPUT</w:t>
        <w:br/>
        <w:t>package_id: ctx-41</w:t>
        <w:br/>
        <w:t>selected terms: terms-S1-v1</w:t>
        <w:br/>
        <w:t>missing field: S1.funded_date</w:t>
        <w:br/>
        <w:t>reason: Needed to determine whether S1 existed before the close</w:t>
        <w:br/>
        <w:t>question: When was S1 funded, and was it included at this close?</w:t>
        <w:br/>
        <w:t>blocked action: Calculate or record this conversion</w:t>
        <w:br/>
        <w:t>evidence: upload-17 / Instruments / D12</w:t>
      </w:r>
    </w:p>
    <w:p>
      <w:r>
        <w:t>These excerpts illustrate request fields and a readable response summary, not a complete serialized API contract. context.schema.json defines the starter response envelope. Developers must add complete typed task inputs and enforce the rules described here.</w:t>
      </w:r>
    </w:p>
    <w:p>
      <w:pPr>
        <w:pStyle w:val="Heading2"/>
      </w:pPr>
      <w:r>
        <w:t>Rules OCE must enforce</w:t>
      </w:r>
    </w:p>
    <w:p>
      <w:r>
        <w:t>Use READY only when all required inputs for the exact task and calculation module are available, permitted and nonconflicting. Return NEEDS_INPUT for missing facts, CONFLICT for contradictory confirmed facts, and UNSUPPORTED_FEATURE_SET when no reviewed calculation module supports the terms. Never drop a material right merely to shorten the model prompt.</w:t>
      </w:r>
    </w:p>
    <w:p>
      <w:r>
        <w:br w:type="page"/>
      </w:r>
    </w:p>
    <w:p>
      <w:pPr>
        <w:pStyle w:val="Heading1"/>
      </w:pPr>
      <w:r>
        <w:t>18 The services and tools developers must build</w:t>
      </w:r>
    </w:p>
    <w:p>
      <w:r>
        <w:t>A tool is an operation the agent can ask a coded service to perform. Its input and output fields are defined in advance. These are proposed logical operations; bind them to the actual Elan SDK and deployment conventions. operation_names.json lists their tool identifiers.</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Operation</w:t>
            </w:r>
          </w:p>
        </w:tc>
        <w:tc>
          <w:tcPr>
            <w:tcW w:type="dxa" w:w="3888"/>
            <w:shd w:fill="EAF0EC"/>
          </w:tcPr>
          <w:p>
            <w:pPr>
              <w:spacing w:after="80" w:before="60"/>
            </w:pPr>
            <w:r>
              <w:rPr>
                <w:b/>
                <w:sz w:val="19"/>
              </w:rPr>
              <w:t>Input</w:t>
            </w:r>
          </w:p>
        </w:tc>
        <w:tc>
          <w:tcPr>
            <w:tcW w:type="dxa" w:w="4104"/>
            <w:shd w:fill="EAF0EC"/>
          </w:tcPr>
          <w:p>
            <w:pPr>
              <w:spacing w:after="80" w:before="60"/>
            </w:pPr>
            <w:r>
              <w:rPr>
                <w:b/>
                <w:sz w:val="19"/>
              </w:rPr>
              <w:t>Required result</w:t>
            </w:r>
          </w:p>
        </w:tc>
      </w:tr>
      <w:tr>
        <w:trPr>
          <w:cantSplit/>
        </w:trPr>
        <w:tc>
          <w:tcPr>
            <w:tcW w:type="dxa" w:w="2232"/>
          </w:tcPr>
          <w:p>
            <w:pPr>
              <w:spacing w:after="80" w:before="60"/>
            </w:pPr>
            <w:r>
              <w:rPr>
                <w:sz w:val="19"/>
              </w:rPr>
              <w:t>Prepare import</w:t>
            </w:r>
          </w:p>
        </w:tc>
        <w:tc>
          <w:tcPr>
            <w:tcW w:type="dxa" w:w="3888"/>
          </w:tcPr>
          <w:p>
            <w:pPr>
              <w:spacing w:after="80" w:before="60"/>
            </w:pPr>
            <w:r>
              <w:rPr>
                <w:sz w:val="19"/>
              </w:rPr>
              <w:t>File reference, import mode and mapping responses.</w:t>
            </w:r>
          </w:p>
        </w:tc>
        <w:tc>
          <w:tcPr>
            <w:tcW w:type="dxa" w:w="4104"/>
          </w:tcPr>
          <w:p>
            <w:pPr>
              <w:spacing w:after="80" w:before="60"/>
            </w:pPr>
            <w:r>
              <w:rPr>
                <w:sz w:val="19"/>
              </w:rPr>
              <w:t>Staged records, unmapped fields, questions and import preview.</w:t>
            </w:r>
          </w:p>
        </w:tc>
      </w:tr>
      <w:tr>
        <w:trPr>
          <w:cantSplit/>
        </w:trPr>
        <w:tc>
          <w:tcPr>
            <w:tcW w:type="dxa" w:w="2232"/>
          </w:tcPr>
          <w:p>
            <w:pPr>
              <w:spacing w:after="80" w:before="60"/>
            </w:pPr>
            <w:r>
              <w:rPr>
                <w:sz w:val="19"/>
              </w:rPr>
              <w:t>Get task facts</w:t>
            </w:r>
          </w:p>
        </w:tc>
        <w:tc>
          <w:tcPr>
            <w:tcW w:type="dxa" w:w="3888"/>
          </w:tcPr>
          <w:p>
            <w:pPr>
              <w:spacing w:after="80" w:before="60"/>
            </w:pPr>
            <w:r>
              <w:rPr>
                <w:sz w:val="19"/>
              </w:rPr>
              <w:t>Company, task purpose, saved state, dates and relevant record IDs.</w:t>
            </w:r>
          </w:p>
        </w:tc>
        <w:tc>
          <w:tcPr>
            <w:tcW w:type="dxa" w:w="4104"/>
          </w:tcPr>
          <w:p>
            <w:pPr>
              <w:spacing w:after="80" w:before="60"/>
            </w:pPr>
            <w:r>
              <w:rPr>
                <w:sz w:val="19"/>
              </w:rPr>
              <w:t>Selected facts, evidence, missing inputs and readiness status.</w:t>
            </w:r>
          </w:p>
        </w:tc>
      </w:tr>
      <w:tr>
        <w:trPr>
          <w:cantSplit/>
        </w:trPr>
        <w:tc>
          <w:tcPr>
            <w:tcW w:type="dxa" w:w="2232"/>
          </w:tcPr>
          <w:p>
            <w:pPr>
              <w:spacing w:after="80" w:before="60"/>
            </w:pPr>
            <w:r>
              <w:rPr>
                <w:sz w:val="19"/>
              </w:rPr>
              <w:t>Investigate issue</w:t>
            </w:r>
          </w:p>
        </w:tc>
        <w:tc>
          <w:tcPr>
            <w:tcW w:type="dxa" w:w="3888"/>
          </w:tcPr>
          <w:p>
            <w:pPr>
              <w:spacing w:after="80" w:before="60"/>
            </w:pPr>
            <w:r>
              <w:rPr>
                <w:sz w:val="19"/>
              </w:rPr>
              <w:t>Issue ID and selected context package.</w:t>
            </w:r>
          </w:p>
        </w:tc>
        <w:tc>
          <w:tcPr>
            <w:tcW w:type="dxa" w:w="4104"/>
          </w:tcPr>
          <w:p>
            <w:pPr>
              <w:spacing w:after="80" w:before="60"/>
            </w:pPr>
            <w:r>
              <w:rPr>
                <w:sz w:val="19"/>
              </w:rPr>
              <w:t>Coded findings, reasoning premises and permitted remedies.</w:t>
            </w:r>
          </w:p>
        </w:tc>
      </w:tr>
      <w:tr>
        <w:trPr>
          <w:cantSplit/>
        </w:trPr>
        <w:tc>
          <w:tcPr>
            <w:tcW w:type="dxa" w:w="2232"/>
          </w:tcPr>
          <w:p>
            <w:pPr>
              <w:spacing w:after="80" w:before="60"/>
            </w:pPr>
            <w:r>
              <w:rPr>
                <w:sz w:val="19"/>
              </w:rPr>
              <w:t>Calculate conversion</w:t>
            </w:r>
          </w:p>
        </w:tc>
        <w:tc>
          <w:tcPr>
            <w:tcW w:type="dxa" w:w="3888"/>
          </w:tcPr>
          <w:p>
            <w:pPr>
              <w:spacing w:after="80" w:before="60"/>
            </w:pPr>
            <w:r>
              <w:rPr>
                <w:sz w:val="19"/>
              </w:rPr>
              <w:t>Instrument, close, context package and approved scenario inputs.</w:t>
            </w:r>
          </w:p>
        </w:tc>
        <w:tc>
          <w:tcPr>
            <w:tcW w:type="dxa" w:w="4104"/>
          </w:tcPr>
          <w:p>
            <w:pPr>
              <w:spacing w:after="80" w:before="60"/>
            </w:pPr>
            <w:r>
              <w:rPr>
                <w:sz w:val="19"/>
              </w:rPr>
              <w:t>Exact eligible amounts, share result, remaining balances and calculation record.</w:t>
            </w:r>
          </w:p>
        </w:tc>
      </w:tr>
      <w:tr>
        <w:trPr>
          <w:cantSplit/>
        </w:trPr>
        <w:tc>
          <w:tcPr>
            <w:tcW w:type="dxa" w:w="2232"/>
          </w:tcPr>
          <w:p>
            <w:pPr>
              <w:spacing w:after="80" w:before="60"/>
            </w:pPr>
            <w:r>
              <w:rPr>
                <w:sz w:val="19"/>
              </w:rPr>
              <w:t>Preview change</w:t>
            </w:r>
          </w:p>
        </w:tc>
        <w:tc>
          <w:tcPr>
            <w:tcW w:type="dxa" w:w="3888"/>
          </w:tcPr>
          <w:p>
            <w:pPr>
              <w:spacing w:after="80" w:before="60"/>
            </w:pPr>
            <w:r>
              <w:rPr>
                <w:sz w:val="19"/>
              </w:rPr>
              <w:t>Typed proposed changes and expected backend version.</w:t>
            </w:r>
          </w:p>
        </w:tc>
        <w:tc>
          <w:tcPr>
            <w:tcW w:type="dxa" w:w="4104"/>
          </w:tcPr>
          <w:p>
            <w:pPr>
              <w:spacing w:after="80" w:before="60"/>
            </w:pPr>
            <w:r>
              <w:rPr>
                <w:sz w:val="19"/>
              </w:rPr>
              <w:t>Before/after view, affected records, proposal ID and approval requirements.</w:t>
            </w:r>
          </w:p>
        </w:tc>
      </w:tr>
      <w:tr>
        <w:trPr>
          <w:cantSplit/>
        </w:trPr>
        <w:tc>
          <w:tcPr>
            <w:tcW w:type="dxa" w:w="2232"/>
          </w:tcPr>
          <w:p>
            <w:pPr>
              <w:spacing w:after="80" w:before="60"/>
            </w:pPr>
            <w:r>
              <w:rPr>
                <w:sz w:val="19"/>
              </w:rPr>
              <w:t>Commit approved change</w:t>
            </w:r>
          </w:p>
        </w:tc>
        <w:tc>
          <w:tcPr>
            <w:tcW w:type="dxa" w:w="3888"/>
          </w:tcPr>
          <w:p>
            <w:pPr>
              <w:spacing w:after="80" w:before="60"/>
            </w:pPr>
            <w:r>
              <w:rPr>
                <w:sz w:val="19"/>
              </w:rPr>
              <w:t>Proposal ID, proposal fingerprint and retry key.</w:t>
            </w:r>
          </w:p>
        </w:tc>
        <w:tc>
          <w:tcPr>
            <w:tcW w:type="dxa" w:w="4104"/>
          </w:tcPr>
          <w:p>
            <w:pPr>
              <w:spacing w:after="80" w:before="60"/>
            </w:pPr>
            <w:r>
              <w:rPr>
                <w:sz w:val="19"/>
              </w:rPr>
              <w:t>One committed backend result or a precise refusal reason.</w:t>
            </w:r>
          </w:p>
        </w:tc>
      </w:tr>
      <w:tr>
        <w:trPr>
          <w:cantSplit/>
        </w:trPr>
        <w:tc>
          <w:tcPr>
            <w:tcW w:type="dxa" w:w="2232"/>
          </w:tcPr>
          <w:p>
            <w:pPr>
              <w:spacing w:after="80" w:before="60"/>
            </w:pPr>
            <w:r>
              <w:rPr>
                <w:sz w:val="19"/>
              </w:rPr>
              <w:t>Model financing</w:t>
            </w:r>
          </w:p>
        </w:tc>
        <w:tc>
          <w:tcPr>
            <w:tcW w:type="dxa" w:w="3888"/>
          </w:tcPr>
          <w:p>
            <w:pPr>
              <w:spacing w:after="80" w:before="60"/>
            </w:pPr>
            <w:r>
              <w:rPr>
                <w:sz w:val="19"/>
              </w:rPr>
              <w:t>Proposed terms, context package and baseline.</w:t>
            </w:r>
          </w:p>
        </w:tc>
        <w:tc>
          <w:tcPr>
            <w:tcW w:type="dxa" w:w="4104"/>
          </w:tcPr>
          <w:p>
            <w:pPr>
              <w:spacing w:after="80" w:before="60"/>
            </w:pPr>
            <w:r>
              <w:rPr>
                <w:sz w:val="19"/>
              </w:rPr>
              <w:t>Calculated ownership, pool and conversion effects in a separate scenario.</w:t>
            </w:r>
          </w:p>
        </w:tc>
      </w:tr>
      <w:tr>
        <w:trPr>
          <w:cantSplit/>
        </w:trPr>
        <w:tc>
          <w:tcPr>
            <w:tcW w:type="dxa" w:w="2232"/>
          </w:tcPr>
          <w:p>
            <w:pPr>
              <w:spacing w:after="80" w:before="60"/>
            </w:pPr>
            <w:r>
              <w:rPr>
                <w:sz w:val="19"/>
              </w:rPr>
              <w:t>Calculate waterfall</w:t>
            </w:r>
          </w:p>
        </w:tc>
        <w:tc>
          <w:tcPr>
            <w:tcW w:type="dxa" w:w="3888"/>
          </w:tcPr>
          <w:p>
            <w:pPr>
              <w:spacing w:after="80" w:before="60"/>
            </w:pPr>
            <w:r>
              <w:rPr>
                <w:sz w:val="19"/>
              </w:rPr>
              <w:t>Sale proceeds, confirmed rights, context package and required elections.</w:t>
            </w:r>
          </w:p>
        </w:tc>
        <w:tc>
          <w:tcPr>
            <w:tcW w:type="dxa" w:w="4104"/>
          </w:tcPr>
          <w:p>
            <w:pPr>
              <w:spacing w:after="80" w:before="60"/>
            </w:pPr>
            <w:r>
              <w:rPr>
                <w:sz w:val="19"/>
              </w:rPr>
              <w:t>Calculated holder payouts, allocation steps or explicit missing information.</w:t>
            </w:r>
          </w:p>
        </w:tc>
      </w:tr>
    </w:tbl>
    <w:p>
      <w:pPr>
        <w:spacing w:after="0"/>
      </w:pPr>
    </w:p>
    <w:p>
      <w:pPr>
        <w:pStyle w:val="Heading2"/>
      </w:pPr>
      <w:r>
        <w:t>What every calculation result includes</w:t>
      </w:r>
    </w:p>
    <w:p>
      <w:r>
        <w:t>Return a calculation ID, exact input references, rule/module version, exact values, displayed rounding, assumptions and checks performed. This saved result is a receipt: a record of what the coded service calculated. The agent must explain these returned values rather than recompute them.</w:t>
      </w:r>
    </w:p>
    <w:p>
      <w:r>
        <w:t>Do not give the agent an unrestricted SQL editor, graph query console or code execution tool for financial operations. A user or external agent cannot bypass required inputs by directly selecting a lower-level database tool.</w:t>
      </w:r>
    </w:p>
    <w:p>
      <w:r>
        <w:br w:type="page"/>
      </w:r>
    </w:p>
    <w:p>
      <w:pPr>
        <w:pStyle w:val="Heading1"/>
      </w:pPr>
      <w:r>
        <w:t>19 Build the management agent conversation</w:t>
      </w:r>
    </w:p>
    <w:p>
      <w:pPr>
        <w:pStyle w:val="Heading2"/>
      </w:pPr>
      <w:r>
        <w:t>The agent should guide the user through concrete decisions</w:t>
      </w:r>
    </w:p>
    <w:p>
      <w:r>
        <w:t>User: “Build my cap table and check whether anything looks wrong.” The agent calls the import service, presents mapping questions, then asks the backend to preview the accepted records. After approval, it waits for OCE to load the saved state and asks the issue service to inspect it.</w:t>
      </w:r>
    </w:p>
    <w:p>
      <w:r>
        <w:t>Agent: “I found Lina's SAFE still outstanding after the Series A close. Its funding date is missing. When was it funded?” The answer is attached to the question ID and instrument S1. Code validates the date format and stores it as a proposed fact with its confirmation evidence.</w:t>
      </w:r>
    </w:p>
    <w:p>
      <w:r>
        <w:t>User: “5 March. It was included in the June round.” The agent asks OCE for updated conversion context, confirms the relevant terms and calls the issue service again. It does not take inclusion in the round as proof that shares were actually recorded.</w:t>
      </w:r>
    </w:p>
    <w:p>
      <w:r>
        <w:t>Agent: “I found no linked conversion or share lot for Lina in the supplied history. Did the conversion happen outside this system, and are the resulting shares listed elsewhere?” The response determines whether to link existing shares, record a historical event or leave an unresolved issue.</w:t>
      </w:r>
    </w:p>
    <w:p>
      <w:pPr>
        <w:pStyle w:val="Heading2"/>
      </w:pPr>
      <w:r>
        <w:t>Keep the workflow resumable</w:t>
      </w:r>
    </w:p>
    <w:p>
      <w:r>
        <w:t>Save the task ID, current step, pending questions, user responses, package IDs, calculation IDs and proposal IDs. If the user returns tomorrow, resume from saved state and recheck access and data versions. Do not depend on the model remembering which numbers or approvals appeared in chat.</w:t>
      </w:r>
    </w:p>
    <w:p>
      <w:pPr>
        <w:pStyle w:val="Heading2"/>
      </w:pPr>
      <w:r>
        <w:t>How to explain findings</w:t>
      </w:r>
    </w:p>
    <w:p>
      <w:r>
        <w:t>For each issue show: what was found, supporting source cells, why it matters, what remains uncertain, recommended next actions and the result of a proposed change. Use business terms familiar to the user first; technical IDs can appear in an expandable detail view or structured external-agent response.</w:t>
      </w:r>
    </w:p>
    <w:p>
      <w:r>
        <w:t>A recommendation must be executable as a defined service action, such as request_date, link_existing_conversion or preview_historical_conversion. “Fix the graph” is not an adequate business action.</w:t>
      </w:r>
    </w:p>
    <w:p>
      <w:r>
        <w:br w:type="page"/>
      </w:r>
    </w:p>
    <w:p>
      <w:pPr>
        <w:pStyle w:val="Heading1"/>
      </w:pPr>
      <w:r>
        <w:t>20 Record a correction without issuing shares twice</w:t>
      </w:r>
    </w:p>
    <w:p>
      <w:r>
        <w:t>Suppose the reviewer confirms the example facts: S1 converted on 30 June, Lina's shares were never recorded anywhere in the application, and the exact target class and terms are confirmed. The agent can now request a correction preview.</w:t>
      </w:r>
    </w:p>
    <w:p>
      <w:r>
        <w:t>1. Read the official current backend version and obtain the matching OCE context. Check all required facts and the permission of the requesting user to propose a change.</w:t>
      </w:r>
    </w:p>
    <w:p>
      <w:r>
        <w:t>2. Call the conversion service. Under the teaching terms it returns 1 million shares, zero remaining converted SAFE amount and the linked calculation ID.</w:t>
      </w:r>
    </w:p>
    <w:p>
      <w:r>
        <w:t>3. Ask the backend for a proposal that records the historical conversion, closes the converted SAFE balance and creates or links the correct lot. Check all later affected events before accepting the plan.</w:t>
      </w:r>
    </w:p>
    <w:p>
      <w:r>
        <w:t>4. Show the user the full change: S1 converted; Lina has lot L1 with 1 million preferred shares; total issued shares become 12 million; ownership is recalculated. Include any affected reports.</w:t>
      </w:r>
    </w:p>
    <w:p>
      <w:r>
        <w:t>5. Obtain approval from the permitted actor for this exact proposal. A proposal fingerprint is a digest identifying its contents. Changing dates, quantities, class or baseline invalidates the approval.</w:t>
      </w:r>
    </w:p>
    <w:p>
      <w:r>
        <w:t>6. Commit through one backend transaction. That means all required financial records are saved together or none is saved. OCE does not separately commit part of the financial change.</w:t>
      </w:r>
    </w:p>
    <w:p>
      <w:r>
        <w:t>7. Wait for OCE to load the committed result, then return the saved receipt and updated cap table.</w:t>
      </w:r>
    </w:p>
    <w:p>
      <w:pPr>
        <w:pStyle w:val="Heading2"/>
      </w:pPr>
      <w:r>
        <w:t>Handle retries and stale proposals</w:t>
      </w:r>
    </w:p>
    <w:p>
      <w:r>
        <w:t>Use a retry key, also called an idempotency key, to recognize the same requested action. If the network loses the response after a successful commit, retrying the same key and contents must return the prior authorized receipt rather than issue more shares. If the same key is used with different contents, reject it.</w:t>
      </w:r>
    </w:p>
    <w:p>
      <w:r>
        <w:t>For a new, not-yet-committed action, reject the proposal if the backend state changed since preview. Rebuild the preview and request any required new approval. Undoing a committed error requires another reviewed correction; it must not delete the original history.</w:t>
      </w:r>
    </w:p>
    <w:p>
      <w:r>
        <w:br w:type="page"/>
      </w:r>
    </w:p>
    <w:p>
      <w:pPr>
        <w:pStyle w:val="Heading1"/>
      </w:pPr>
      <w:r>
        <w:t>21 Keep the graph synchronized with official records</w:t>
      </w:r>
    </w:p>
    <w:p>
      <w:r>
        <w:t>OCE needs a reliable copy of approved data. The technical name for this copy is a projection. A graph projector is simply the service that reads approved changes and updates the graph. It must not invent or independently approve financial events.</w:t>
      </w:r>
    </w:p>
    <w:p>
      <w:pPr>
        <w:pStyle w:val="Heading2"/>
      </w:pPr>
      <w:r>
        <w:t>A concrete sequence</w:t>
      </w:r>
    </w:p>
    <w:p>
      <w:r>
        <w:t>The backend is at change number 17. The correction saves change 18 and an outgoing message together. The projector reads that message, builds the graph for change 18, checks it, then marks the completed graph revision ready. A revision is one identifiable version of the linked view.</w:t>
      </w:r>
    </w:p>
    <w:tbl>
      <w:tblPr>
        <w:tblW w:type="auto" w:w="0"/>
        <w:tblLayout w:type="fixed"/>
        <w:tblLook w:firstColumn="1" w:firstRow="1" w:lastColumn="0" w:lastRow="0" w:noHBand="0" w:noVBand="1" w:val="04A0"/>
      </w:tblPr>
      <w:tblGrid>
        <w:gridCol w:w="2736"/>
        <w:gridCol w:w="7488"/>
      </w:tblGrid>
      <w:tr>
        <w:trPr>
          <w:cantSplit/>
          <w:tblHeader/>
        </w:trPr>
        <w:tc>
          <w:tcPr>
            <w:tcW w:type="dxa" w:w="2736"/>
            <w:shd w:fill="EAF0EC"/>
          </w:tcPr>
          <w:p>
            <w:pPr>
              <w:spacing w:after="80" w:before="60"/>
            </w:pPr>
            <w:r>
              <w:rPr>
                <w:b/>
                <w:sz w:val="19"/>
              </w:rPr>
              <w:t>Situation</w:t>
            </w:r>
          </w:p>
        </w:tc>
        <w:tc>
          <w:tcPr>
            <w:tcW w:type="dxa" w:w="7488"/>
            <w:shd w:fill="EAF0EC"/>
          </w:tcPr>
          <w:p>
            <w:pPr>
              <w:spacing w:after="80" w:before="60"/>
            </w:pPr>
            <w:r>
              <w:rPr>
                <w:b/>
                <w:sz w:val="19"/>
              </w:rPr>
              <w:t>Required behavior</w:t>
            </w:r>
          </w:p>
        </w:tc>
      </w:tr>
      <w:tr>
        <w:trPr>
          <w:cantSplit/>
        </w:trPr>
        <w:tc>
          <w:tcPr>
            <w:tcW w:type="dxa" w:w="2736"/>
          </w:tcPr>
          <w:p>
            <w:pPr>
              <w:spacing w:after="80" w:before="60"/>
            </w:pPr>
            <w:r>
              <w:rPr>
                <w:sz w:val="19"/>
              </w:rPr>
              <w:t>Message 18 is delivered twice.</w:t>
            </w:r>
          </w:p>
        </w:tc>
        <w:tc>
          <w:tcPr>
            <w:tcW w:type="dxa" w:w="7488"/>
          </w:tcPr>
          <w:p>
            <w:pPr>
              <w:spacing w:after="80" w:before="60"/>
            </w:pPr>
            <w:r>
              <w:rPr>
                <w:sz w:val="19"/>
              </w:rPr>
              <w:t>Recognize the same event ID and contents. Apply it once.</w:t>
            </w:r>
          </w:p>
        </w:tc>
      </w:tr>
      <w:tr>
        <w:trPr>
          <w:cantSplit/>
        </w:trPr>
        <w:tc>
          <w:tcPr>
            <w:tcW w:type="dxa" w:w="2736"/>
          </w:tcPr>
          <w:p>
            <w:pPr>
              <w:spacing w:after="80" w:before="60"/>
            </w:pPr>
            <w:r>
              <w:rPr>
                <w:sz w:val="19"/>
              </w:rPr>
              <w:t>Message 19 arrives before 18.</w:t>
            </w:r>
          </w:p>
        </w:tc>
        <w:tc>
          <w:tcPr>
            <w:tcW w:type="dxa" w:w="7488"/>
          </w:tcPr>
          <w:p>
            <w:pPr>
              <w:spacing w:after="80" w:before="60"/>
            </w:pPr>
            <w:r>
              <w:rPr>
                <w:sz w:val="19"/>
              </w:rPr>
              <w:t>Wait for the missing message. Do not claim the graph is complete through 19.</w:t>
            </w:r>
          </w:p>
        </w:tc>
      </w:tr>
      <w:tr>
        <w:trPr>
          <w:cantSplit/>
        </w:trPr>
        <w:tc>
          <w:tcPr>
            <w:tcW w:type="dxa" w:w="2736"/>
          </w:tcPr>
          <w:p>
            <w:pPr>
              <w:spacing w:after="80" w:before="60"/>
            </w:pPr>
            <w:r>
              <w:rPr>
                <w:sz w:val="19"/>
              </w:rPr>
              <w:t>Event ID 18 arrives with different contents.</w:t>
            </w:r>
          </w:p>
        </w:tc>
        <w:tc>
          <w:tcPr>
            <w:tcW w:type="dxa" w:w="7488"/>
          </w:tcPr>
          <w:p>
            <w:pPr>
              <w:spacing w:after="80" w:before="60"/>
            </w:pPr>
            <w:r>
              <w:rPr>
                <w:sz w:val="19"/>
              </w:rPr>
              <w:t>Stop and flag a processing conflict; do not silently overwrite it.</w:t>
            </w:r>
          </w:p>
        </w:tc>
      </w:tr>
      <w:tr>
        <w:trPr>
          <w:cantSplit/>
        </w:trPr>
        <w:tc>
          <w:tcPr>
            <w:tcW w:type="dxa" w:w="2736"/>
          </w:tcPr>
          <w:p>
            <w:pPr>
              <w:spacing w:after="80" w:before="60"/>
            </w:pPr>
            <w:r>
              <w:rPr>
                <w:sz w:val="19"/>
              </w:rPr>
              <w:t>The build fails partway through.</w:t>
            </w:r>
          </w:p>
        </w:tc>
        <w:tc>
          <w:tcPr>
            <w:tcW w:type="dxa" w:w="7488"/>
          </w:tcPr>
          <w:p>
            <w:pPr>
              <w:spacing w:after="80" w:before="60"/>
            </w:pPr>
            <w:r>
              <w:rPr>
                <w:sz w:val="19"/>
              </w:rPr>
              <w:t>Keep serving the prior complete revision. Do not expose a half-updated graph.</w:t>
            </w:r>
          </w:p>
        </w:tc>
      </w:tr>
      <w:tr>
        <w:trPr>
          <w:cantSplit/>
        </w:trPr>
        <w:tc>
          <w:tcPr>
            <w:tcW w:type="dxa" w:w="2736"/>
          </w:tcPr>
          <w:p>
            <w:pPr>
              <w:spacing w:after="80" w:before="60"/>
            </w:pPr>
            <w:r>
              <w:rPr>
                <w:sz w:val="19"/>
              </w:rPr>
              <w:t>Backend is at 18 but graph is at 17.</w:t>
            </w:r>
          </w:p>
        </w:tc>
        <w:tc>
          <w:tcPr>
            <w:tcW w:type="dxa" w:w="7488"/>
          </w:tcPr>
          <w:p>
            <w:pPr>
              <w:spacing w:after="80" w:before="60"/>
            </w:pPr>
            <w:r>
              <w:rPr>
                <w:sz w:val="19"/>
              </w:rPr>
              <w:t>Return an updating status for an analysis requiring 18. Do not silently mix versions.</w:t>
            </w:r>
          </w:p>
        </w:tc>
      </w:tr>
    </w:tbl>
    <w:p>
      <w:pPr>
        <w:spacing w:after="0"/>
      </w:pPr>
    </w:p>
    <w:p>
      <w:pPr>
        <w:pStyle w:val="Heading2"/>
      </w:pPr>
      <w:r>
        <w:t>Implementation requirements</w:t>
      </w:r>
    </w:p>
    <w:p>
      <w:r>
        <w:t>Save the outgoing message in the same database transaction as the financial event. This saved-message pattern is called an outbox. Track processed event IDs and content fingerprints. Process the ordered sequence for each company without skipping gaps. Build a new graph revision privately, validate it and publish it as complete in one atomic operation or a single pointer switch.</w:t>
      </w:r>
    </w:p>
    <w:p>
      <w:r>
        <w:t>Store the matching backend snapshot ID, change number, graph revision ID, dictionary/mapping versions and validation result together. A completeness marker is called a revision manifest in the technical assets. Check this marker before OCE serves a package for a specific saved state.</w:t>
      </w:r>
    </w:p>
    <w:p>
      <w:r>
        <w:t>Test rebuilding the graph from approved backend history. The rebuilt selected facts must match the original results. This is how developers verify that the graph is a dependable derived view rather than another independent financial database.</w:t>
      </w:r>
    </w:p>
    <w:p>
      <w:r>
        <w:br w:type="page"/>
      </w:r>
    </w:p>
    <w:p>
      <w:pPr>
        <w:pStyle w:val="Heading1"/>
      </w:pPr>
      <w:r>
        <w:t>22 Build term analysis waterfall and external access</w:t>
      </w:r>
    </w:p>
    <w:p>
      <w:pPr>
        <w:pStyle w:val="Heading2"/>
      </w:pPr>
      <w:r>
        <w:t>Term Sheet Analysis agent</w:t>
      </w:r>
    </w:p>
    <w:p>
      <w:r>
        <w:t>Accept proposed terms in structured spreadsheets or confirmed forms. A term sheet describes a proposed investment deal. Explain its meaning before modeling: pre-money value, new cash, conversion terms, employee pool, preferences, participation, anti-dilution and voting approvals. Anti-dilution is a contractual adjustment to specified rights or conversion prices under defined events, not a guarantee that ownership never falls.</w:t>
      </w:r>
    </w:p>
    <w:p>
      <w:r>
        <w:t>Create a separate scenario, meaning a saved what-if version of the cap table. Ask OCE for the existing and proposed terms with their definitions. Call the backend financing solver. Present the returned ownership and rights differences, the assumptions and the calculations affected. Comparing an offer must not overwrite official investor terms.</w:t>
      </w:r>
    </w:p>
    <w:p>
      <w:pPr>
        <w:pStyle w:val="Heading2"/>
      </w:pPr>
      <w:r>
        <w:t>Waterfall Analysis agent</w:t>
      </w:r>
    </w:p>
    <w:p>
      <w:r>
        <w:t>Ask whether the input sale value is enterprise value or cash already available to shareholders. Enterprise value may require a bridge for debt, cash, costs and other adjustments. Do not subtract those items twice. Collect all relevant rights and elections, then call the coded waterfall service. Show the proceeds bridge, per-holder payouts and allocation explanation returned by that service.</w:t>
      </w:r>
    </w:p>
    <w:p>
      <w:pPr>
        <w:pStyle w:val="Heading2"/>
      </w:pPr>
      <w:r>
        <w:t>The same capabilities through every experience</w:t>
      </w:r>
    </w:p>
    <w:p>
      <w:r>
        <w:t>Elan chat, a customer-built application, another agent using A2A and an MCP client must call the same business operations. A2A (Agent2Agent) is a protocol for agents exchanging tasks and results. MCP (Model Context Protocol) exposes defined tools and resources to clients. Neither interface grants additional authority or permits bypassing approvals.</w:t>
      </w:r>
    </w:p>
    <w:p>
      <w:r>
        <w:t>An external agent receives structured questions, missing fields and task status rather than having to interpret chat text. Save task state and recheck the original delegation when work resumes. Advertise supported instruments, calculation limits, privacy policy, support email and evaluation results so integrators know what the agent can reliably do.</w:t>
      </w:r>
    </w:p>
    <w:p>
      <w:r>
        <w:br w:type="page"/>
      </w:r>
    </w:p>
    <w:p>
      <w:pPr>
        <w:pStyle w:val="Heading1"/>
      </w:pPr>
      <w:r>
        <w:t>23 Track changes and enforce who can see what</w:t>
      </w:r>
    </w:p>
    <w:p>
      <w:pPr>
        <w:pStyle w:val="Heading2"/>
      </w:pPr>
      <w:r>
        <w:t>When one fact changes</w:t>
      </w:r>
    </w:p>
    <w:p>
      <w:r>
        <w:t>Suppose the SAFE funding date is corrected, or a previously missing holder-specific preference is added. OCE must identify which earlier packages, scenarios, reports and uncommitted proposals relied on the affected information. These links are called dependencies: records of what a result relied on.</w:t>
      </w:r>
    </w:p>
    <w:p>
      <w:r>
        <w:t>Track both the facts used and the searches that found nothing. If a package relied on “no amendment recorded,” a newly added amendment must invalidate that conclusion even though the amendment did not exist when the package was created. Mark affected current results stale, meaning they need to be checked or recalculated.</w:t>
      </w:r>
    </w:p>
    <w:p>
      <w:r>
        <w:t>Preserve old reports with their original facts and dates. Recalculate under a new result ID. Do not silently rewrite the report or automatically reverse an actual conversion because new evidence appeared. A changed uncommitted proposal must be previewed and approved again where required.</w:t>
      </w:r>
    </w:p>
    <w:p>
      <w:pPr>
        <w:pStyle w:val="Heading2"/>
      </w:pPr>
      <w:r>
        <w:t>Access checks are part of accuracy</w:t>
      </w:r>
    </w:p>
    <w:tbl>
      <w:tblPr>
        <w:tblW w:type="auto" w:w="0"/>
        <w:tblLayout w:type="fixed"/>
        <w:tblLook w:firstColumn="1" w:firstRow="1" w:lastColumn="0" w:lastRow="0" w:noHBand="0" w:noVBand="1" w:val="04A0"/>
      </w:tblPr>
      <w:tblGrid>
        <w:gridCol w:w="2736"/>
        <w:gridCol w:w="7488"/>
      </w:tblGrid>
      <w:tr>
        <w:trPr>
          <w:cantSplit/>
          <w:tblHeader/>
        </w:trPr>
        <w:tc>
          <w:tcPr>
            <w:tcW w:type="dxa" w:w="2736"/>
            <w:shd w:fill="EAF0EC"/>
          </w:tcPr>
          <w:p>
            <w:pPr>
              <w:spacing w:after="80" w:before="60"/>
            </w:pPr>
            <w:r>
              <w:rPr>
                <w:b/>
                <w:sz w:val="19"/>
              </w:rPr>
              <w:t>Caller</w:t>
            </w:r>
          </w:p>
        </w:tc>
        <w:tc>
          <w:tcPr>
            <w:tcW w:type="dxa" w:w="7488"/>
            <w:shd w:fill="EAF0EC"/>
          </w:tcPr>
          <w:p>
            <w:pPr>
              <w:spacing w:after="80" w:before="60"/>
            </w:pPr>
            <w:r>
              <w:rPr>
                <w:b/>
                <w:sz w:val="19"/>
              </w:rPr>
              <w:t>Required behavior</w:t>
            </w:r>
          </w:p>
        </w:tc>
      </w:tr>
      <w:tr>
        <w:trPr>
          <w:cantSplit/>
        </w:trPr>
        <w:tc>
          <w:tcPr>
            <w:tcW w:type="dxa" w:w="2736"/>
          </w:tcPr>
          <w:p>
            <w:pPr>
              <w:spacing w:after="80" w:before="60"/>
            </w:pPr>
            <w:r>
              <w:rPr>
                <w:sz w:val="19"/>
              </w:rPr>
              <w:t>Bluebird authorized administrator</w:t>
            </w:r>
          </w:p>
        </w:tc>
        <w:tc>
          <w:tcPr>
            <w:tcW w:type="dxa" w:w="7488"/>
          </w:tcPr>
          <w:p>
            <w:pPr>
              <w:spacing w:after="80" w:before="60"/>
            </w:pPr>
            <w:r>
              <w:rPr>
                <w:sz w:val="19"/>
              </w:rPr>
              <w:t>Can access permitted company records and request proposals within their role.</w:t>
            </w:r>
          </w:p>
        </w:tc>
      </w:tr>
      <w:tr>
        <w:trPr>
          <w:cantSplit/>
        </w:trPr>
        <w:tc>
          <w:tcPr>
            <w:tcW w:type="dxa" w:w="2736"/>
          </w:tcPr>
          <w:p>
            <w:pPr>
              <w:spacing w:after="80" w:before="60"/>
            </w:pPr>
            <w:r>
              <w:rPr>
                <w:sz w:val="19"/>
              </w:rPr>
              <w:t>Lina with limited investor access</w:t>
            </w:r>
          </w:p>
        </w:tc>
        <w:tc>
          <w:tcPr>
            <w:tcW w:type="dxa" w:w="7488"/>
          </w:tcPr>
          <w:p>
            <w:pPr>
              <w:spacing w:after="80" w:before="60"/>
            </w:pPr>
            <w:r>
              <w:rPr>
                <w:sz w:val="19"/>
              </w:rPr>
              <w:t>Can see the permitted records for Lina; cannot infer other investor rights or holdings from hidden graph data or issue counts.</w:t>
            </w:r>
          </w:p>
        </w:tc>
      </w:tr>
      <w:tr>
        <w:trPr>
          <w:cantSplit/>
        </w:trPr>
        <w:tc>
          <w:tcPr>
            <w:tcW w:type="dxa" w:w="2736"/>
          </w:tcPr>
          <w:p>
            <w:pPr>
              <w:spacing w:after="80" w:before="60"/>
            </w:pPr>
            <w:r>
              <w:rPr>
                <w:sz w:val="19"/>
              </w:rPr>
              <w:t>Another company user</w:t>
            </w:r>
          </w:p>
        </w:tc>
        <w:tc>
          <w:tcPr>
            <w:tcW w:type="dxa" w:w="7488"/>
          </w:tcPr>
          <w:p>
            <w:pPr>
              <w:spacing w:after="80" w:before="60"/>
            </w:pPr>
            <w:r>
              <w:rPr>
                <w:sz w:val="19"/>
              </w:rPr>
              <w:t>Cannot access Bluebird records, even if an ID is guessed.</w:t>
            </w:r>
          </w:p>
        </w:tc>
      </w:tr>
      <w:tr>
        <w:trPr>
          <w:cantSplit/>
        </w:trPr>
        <w:tc>
          <w:tcPr>
            <w:tcW w:type="dxa" w:w="2736"/>
          </w:tcPr>
          <w:p>
            <w:pPr>
              <w:spacing w:after="80" w:before="60"/>
            </w:pPr>
            <w:r>
              <w:rPr>
                <w:sz w:val="19"/>
              </w:rPr>
              <w:t>External agent acting for a user</w:t>
            </w:r>
          </w:p>
        </w:tc>
        <w:tc>
          <w:tcPr>
            <w:tcW w:type="dxa" w:w="7488"/>
          </w:tcPr>
          <w:p>
            <w:pPr>
              <w:spacing w:after="80" w:before="60"/>
            </w:pPr>
            <w:r>
              <w:rPr>
                <w:sz w:val="19"/>
              </w:rPr>
              <w:t>Receives only the permissions delegated by the user and approved task capabilities.</w:t>
            </w:r>
          </w:p>
        </w:tc>
      </w:tr>
    </w:tbl>
    <w:p>
      <w:pPr>
        <w:spacing w:after="0"/>
      </w:pPr>
    </w:p>
    <w:p>
      <w:r>
        <w:t>Company and user identity come from authentication. A company ID in a prompt or a graph name is not permission. Enforce authorization before retrieval, calculation, task resumption and evidence export. If a restricted view hides information needed for a company-wide conclusion, return an access or coverage limitation rather than presenting that partial view as complete.</w:t>
      </w:r>
    </w:p>
    <w:p>
      <w:r>
        <w:t>Spreadsheet text and external messages are untrusted data. A cell saying “ignore all checks” is not an instruction to the agent or the backend.</w:t>
      </w:r>
    </w:p>
    <w:p>
      <w:r>
        <w:br w:type="page"/>
      </w:r>
    </w:p>
    <w:p>
      <w:pPr>
        <w:pStyle w:val="Heading1"/>
      </w:pPr>
      <w:r>
        <w:t>24 Assign build work in a practical order</w:t>
      </w:r>
    </w:p>
    <w:tbl>
      <w:tblPr>
        <w:tblW w:type="auto" w:w="0"/>
        <w:tblLayout w:type="fixed"/>
        <w:tblLook w:firstColumn="1" w:firstRow="1" w:lastColumn="0" w:lastRow="0" w:noHBand="0" w:noVBand="1" w:val="04A0"/>
      </w:tblPr>
      <w:tblGrid>
        <w:gridCol w:w="2232"/>
        <w:gridCol w:w="3888"/>
        <w:gridCol w:w="4104"/>
      </w:tblGrid>
      <w:tr>
        <w:trPr>
          <w:cantSplit/>
          <w:tblHeader/>
        </w:trPr>
        <w:tc>
          <w:tcPr>
            <w:tcW w:type="dxa" w:w="2232"/>
            <w:shd w:fill="EAF0EC"/>
          </w:tcPr>
          <w:p>
            <w:pPr>
              <w:spacing w:after="80" w:before="60"/>
            </w:pPr>
            <w:r>
              <w:rPr>
                <w:b/>
                <w:sz w:val="19"/>
              </w:rPr>
              <w:t>Build step and owner</w:t>
            </w:r>
          </w:p>
        </w:tc>
        <w:tc>
          <w:tcPr>
            <w:tcW w:type="dxa" w:w="3888"/>
            <w:shd w:fill="EAF0EC"/>
          </w:tcPr>
          <w:p>
            <w:pPr>
              <w:spacing w:after="80" w:before="60"/>
            </w:pPr>
            <w:r>
              <w:rPr>
                <w:b/>
                <w:sz w:val="19"/>
              </w:rPr>
              <w:t>Work to implement</w:t>
            </w:r>
          </w:p>
        </w:tc>
        <w:tc>
          <w:tcPr>
            <w:tcW w:type="dxa" w:w="4104"/>
            <w:shd w:fill="EAF0EC"/>
          </w:tcPr>
          <w:p>
            <w:pPr>
              <w:spacing w:after="80" w:before="60"/>
            </w:pPr>
            <w:r>
              <w:rPr>
                <w:b/>
                <w:sz w:val="19"/>
              </w:rPr>
              <w:t>Done when</w:t>
            </w:r>
          </w:p>
        </w:tc>
      </w:tr>
      <w:tr>
        <w:trPr>
          <w:cantSplit/>
        </w:trPr>
        <w:tc>
          <w:tcPr>
            <w:tcW w:type="dxa" w:w="2232"/>
          </w:tcPr>
          <w:p>
            <w:pPr>
              <w:spacing w:after="80" w:before="60"/>
            </w:pPr>
            <w:r>
              <w:rPr>
                <w:sz w:val="19"/>
              </w:rPr>
              <w:t>1 Domain model</w:t>
              <w:br/>
              <w:t>OCE and backend together</w:t>
            </w:r>
          </w:p>
        </w:tc>
        <w:tc>
          <w:tcPr>
            <w:tcW w:type="dxa" w:w="3888"/>
          </w:tcPr>
          <w:p>
            <w:pPr>
              <w:spacing w:after="80" w:before="60"/>
            </w:pPr>
            <w:r>
              <w:rPr>
                <w:sz w:val="19"/>
              </w:rPr>
              <w:t>Agree field meanings, Bluebird records, event IDs, snapshots and calculation input requirements.</w:t>
            </w:r>
          </w:p>
        </w:tc>
        <w:tc>
          <w:tcPr>
            <w:tcW w:type="dxa" w:w="4104"/>
          </w:tcPr>
          <w:p>
            <w:pPr>
              <w:spacing w:after="80" w:before="60"/>
            </w:pPr>
            <w:r>
              <w:rPr>
                <w:sz w:val="19"/>
              </w:rPr>
              <w:t>Both teams can trace every example field to a stored record and source.</w:t>
            </w:r>
          </w:p>
        </w:tc>
      </w:tr>
      <w:tr>
        <w:trPr>
          <w:cantSplit/>
        </w:trPr>
        <w:tc>
          <w:tcPr>
            <w:tcW w:type="dxa" w:w="2232"/>
          </w:tcPr>
          <w:p>
            <w:pPr>
              <w:spacing w:after="80" w:before="60"/>
            </w:pPr>
            <w:r>
              <w:rPr>
                <w:sz w:val="19"/>
              </w:rPr>
              <w:t>2 Import</w:t>
              <w:br/>
              <w:t>Backend with agent developer</w:t>
            </w:r>
          </w:p>
        </w:tc>
        <w:tc>
          <w:tcPr>
            <w:tcW w:type="dxa" w:w="3888"/>
          </w:tcPr>
          <w:p>
            <w:pPr>
              <w:spacing w:after="80" w:before="60"/>
            </w:pPr>
            <w:r>
              <w:rPr>
                <w:sz w:val="19"/>
              </w:rPr>
              <w:t>File storage, mapping preview, missing states, holder matching and reviewed import.</w:t>
            </w:r>
          </w:p>
        </w:tc>
        <w:tc>
          <w:tcPr>
            <w:tcW w:type="dxa" w:w="4104"/>
          </w:tcPr>
          <w:p>
            <w:pPr>
              <w:spacing w:after="80" w:before="60"/>
            </w:pPr>
            <w:r>
              <w:rPr>
                <w:sz w:val="19"/>
              </w:rPr>
              <w:t>The Bluebird upload produces the expected records without inventing Lina's date or shares.</w:t>
            </w:r>
          </w:p>
        </w:tc>
      </w:tr>
      <w:tr>
        <w:trPr>
          <w:cantSplit/>
        </w:trPr>
        <w:tc>
          <w:tcPr>
            <w:tcW w:type="dxa" w:w="2232"/>
          </w:tcPr>
          <w:p>
            <w:pPr>
              <w:spacing w:after="80" w:before="60"/>
            </w:pPr>
            <w:r>
              <w:rPr>
                <w:sz w:val="19"/>
              </w:rPr>
              <w:t>3 Linked view</w:t>
              <w:br/>
              <w:t>OCE team</w:t>
            </w:r>
          </w:p>
        </w:tc>
        <w:tc>
          <w:tcPr>
            <w:tcW w:type="dxa" w:w="3888"/>
          </w:tcPr>
          <w:p>
            <w:pPr>
              <w:spacing w:after="80" w:before="60"/>
            </w:pPr>
            <w:r>
              <w:rPr>
                <w:sz w:val="19"/>
              </w:rPr>
              <w:t>Ontology mapping, graph links, selected fact history and complete graph revisions.</w:t>
            </w:r>
          </w:p>
        </w:tc>
        <w:tc>
          <w:tcPr>
            <w:tcW w:type="dxa" w:w="4104"/>
          </w:tcPr>
          <w:p>
            <w:pPr>
              <w:spacing w:after="80" w:before="60"/>
            </w:pPr>
            <w:r>
              <w:rPr>
                <w:sz w:val="19"/>
              </w:rPr>
              <w:t>The agent can find S1, relevant closes, governing terms and any existing resulting lots.</w:t>
            </w:r>
          </w:p>
        </w:tc>
      </w:tr>
      <w:tr>
        <w:trPr>
          <w:cantSplit/>
        </w:trPr>
        <w:tc>
          <w:tcPr>
            <w:tcW w:type="dxa" w:w="2232"/>
          </w:tcPr>
          <w:p>
            <w:pPr>
              <w:spacing w:after="80" w:before="60"/>
            </w:pPr>
            <w:r>
              <w:rPr>
                <w:sz w:val="19"/>
              </w:rPr>
              <w:t>4 Context service</w:t>
              <w:br/>
              <w:t>OCE team</w:t>
            </w:r>
          </w:p>
        </w:tc>
        <w:tc>
          <w:tcPr>
            <w:tcW w:type="dxa" w:w="3888"/>
          </w:tcPr>
          <w:p>
            <w:pPr>
              <w:spacing w:after="80" w:before="60"/>
            </w:pPr>
            <w:r>
              <w:rPr>
                <w:sz w:val="19"/>
              </w:rPr>
              <w:t>Task-specific fact selection, evidence, gaps and readiness checks.</w:t>
            </w:r>
          </w:p>
        </w:tc>
        <w:tc>
          <w:tcPr>
            <w:tcW w:type="dxa" w:w="4104"/>
          </w:tcPr>
          <w:p>
            <w:pPr>
              <w:spacing w:after="80" w:before="60"/>
            </w:pPr>
            <w:r>
              <w:rPr>
                <w:sz w:val="19"/>
              </w:rPr>
              <w:t>Unknown funding date blocks conversion and produces the correct targeted question.</w:t>
            </w:r>
          </w:p>
        </w:tc>
      </w:tr>
      <w:tr>
        <w:trPr>
          <w:cantSplit/>
        </w:trPr>
        <w:tc>
          <w:tcPr>
            <w:tcW w:type="dxa" w:w="2232"/>
          </w:tcPr>
          <w:p>
            <w:pPr>
              <w:spacing w:after="80" w:before="60"/>
            </w:pPr>
            <w:r>
              <w:rPr>
                <w:sz w:val="19"/>
              </w:rPr>
              <w:t>5 Management workflow</w:t>
              <w:br/>
              <w:t>Ria and backend</w:t>
            </w:r>
          </w:p>
        </w:tc>
        <w:tc>
          <w:tcPr>
            <w:tcW w:type="dxa" w:w="3888"/>
          </w:tcPr>
          <w:p>
            <w:pPr>
              <w:spacing w:after="80" w:before="60"/>
            </w:pPr>
            <w:r>
              <w:rPr>
                <w:sz w:val="19"/>
              </w:rPr>
              <w:t>Durable questions, issue investigation, conversion preview, approval and retry-safe commit.</w:t>
            </w:r>
          </w:p>
        </w:tc>
        <w:tc>
          <w:tcPr>
            <w:tcW w:type="dxa" w:w="4104"/>
          </w:tcPr>
          <w:p>
            <w:pPr>
              <w:spacing w:after="80" w:before="60"/>
            </w:pPr>
            <w:r>
              <w:rPr>
                <w:sz w:val="19"/>
              </w:rPr>
              <w:t>The confirmed example creates one conversion and one resulting lot despite a repeated request.</w:t>
            </w:r>
          </w:p>
        </w:tc>
      </w:tr>
      <w:tr>
        <w:trPr>
          <w:cantSplit/>
        </w:trPr>
        <w:tc>
          <w:tcPr>
            <w:tcW w:type="dxa" w:w="2232"/>
          </w:tcPr>
          <w:p>
            <w:pPr>
              <w:spacing w:after="80" w:before="60"/>
            </w:pPr>
            <w:r>
              <w:rPr>
                <w:sz w:val="19"/>
              </w:rPr>
              <w:t>6 Analysis workflows</w:t>
              <w:br/>
              <w:t>Ria with calculation team</w:t>
            </w:r>
          </w:p>
        </w:tc>
        <w:tc>
          <w:tcPr>
            <w:tcW w:type="dxa" w:w="3888"/>
          </w:tcPr>
          <w:p>
            <w:pPr>
              <w:spacing w:after="80" w:before="60"/>
            </w:pPr>
            <w:r>
              <w:rPr>
                <w:sz w:val="19"/>
              </w:rPr>
              <w:t>Term comparisons and sale scenarios using coded services.</w:t>
            </w:r>
          </w:p>
        </w:tc>
        <w:tc>
          <w:tcPr>
            <w:tcW w:type="dxa" w:w="4104"/>
          </w:tcPr>
          <w:p>
            <w:pPr>
              <w:spacing w:after="80" w:before="60"/>
            </w:pPr>
            <w:r>
              <w:rPr>
                <w:sz w:val="19"/>
              </w:rPr>
              <w:t>The example ownership and waterfall results match independently checked expected values.</w:t>
            </w:r>
          </w:p>
        </w:tc>
      </w:tr>
      <w:tr>
        <w:trPr>
          <w:cantSplit/>
        </w:trPr>
        <w:tc>
          <w:tcPr>
            <w:tcW w:type="dxa" w:w="2232"/>
          </w:tcPr>
          <w:p>
            <w:pPr>
              <w:spacing w:after="80" w:before="60"/>
            </w:pPr>
            <w:r>
              <w:rPr>
                <w:sz w:val="19"/>
              </w:rPr>
              <w:t>7 Production checks</w:t>
              <w:br/>
              <w:t>Joint QA and security</w:t>
            </w:r>
          </w:p>
        </w:tc>
        <w:tc>
          <w:tcPr>
            <w:tcW w:type="dxa" w:w="3888"/>
          </w:tcPr>
          <w:p>
            <w:pPr>
              <w:spacing w:after="80" w:before="60"/>
            </w:pPr>
            <w:r>
              <w:rPr>
                <w:sz w:val="19"/>
              </w:rPr>
              <w:t>Permissions, historical views, graph lag, recovery, unsupported terms and channel parity.</w:t>
            </w:r>
          </w:p>
        </w:tc>
        <w:tc>
          <w:tcPr>
            <w:tcW w:type="dxa" w:w="4104"/>
          </w:tcPr>
          <w:p>
            <w:pPr>
              <w:spacing w:after="80" w:before="60"/>
            </w:pPr>
            <w:r>
              <w:rPr>
                <w:sz w:val="19"/>
              </w:rPr>
              <w:t>Acceptance cases pass and the supported-feature list accurately reflects tested behavior.</w:t>
            </w:r>
          </w:p>
        </w:tc>
      </w:tr>
    </w:tbl>
    <w:p>
      <w:pPr>
        <w:spacing w:after="0"/>
      </w:pPr>
    </w:p>
    <w:p>
      <w:pPr>
        <w:pStyle w:val="Heading2"/>
      </w:pPr>
      <w:r>
        <w:t>First demonstrable milestone</w:t>
      </w:r>
    </w:p>
    <w:p>
      <w:r>
        <w:t>Build the Bluebird SAFE workflow end to end before expanding the vocabulary. A developer should be able to upload the example, see the missing-date question, supply the confirmed facts, preview the correction, approve it and see the updated cap table. A collection of ontology classes alone is not this milestone.</w:t>
      </w:r>
    </w:p>
    <w:p>
      <w:r>
        <w:t>Then add notes with interest, options and vesting, different preferences, voting rights and more complex financing combinations. For each addition, extend the fields, graph links, coded rules, calculation support and acceptance tests together. Keep unsupported unusual terms as records and explain the missing support.</w:t>
      </w:r>
    </w:p>
    <w:p>
      <w:r>
        <w:br w:type="page"/>
      </w:r>
    </w:p>
    <w:p>
      <w:pPr>
        <w:pStyle w:val="Heading1"/>
      </w:pPr>
      <w:r>
        <w:t>25 Acceptance tests that prove the intended behavior</w:t>
      </w:r>
    </w:p>
    <w:tbl>
      <w:tblPr>
        <w:tblW w:type="auto" w:w="0"/>
        <w:tblLayout w:type="fixed"/>
        <w:tblLook w:firstColumn="1" w:firstRow="1" w:lastColumn="0" w:lastRow="0" w:noHBand="0" w:noVBand="1" w:val="04A0"/>
      </w:tblPr>
      <w:tblGrid>
        <w:gridCol w:w="2736"/>
        <w:gridCol w:w="7488"/>
      </w:tblGrid>
      <w:tr>
        <w:trPr>
          <w:cantSplit/>
          <w:tblHeader/>
        </w:trPr>
        <w:tc>
          <w:tcPr>
            <w:tcW w:type="dxa" w:w="2736"/>
            <w:shd w:fill="EAF0EC"/>
          </w:tcPr>
          <w:p>
            <w:pPr>
              <w:spacing w:after="80" w:before="60"/>
            </w:pPr>
            <w:r>
              <w:rPr>
                <w:b/>
                <w:sz w:val="19"/>
              </w:rPr>
              <w:t>Test input or event</w:t>
            </w:r>
          </w:p>
        </w:tc>
        <w:tc>
          <w:tcPr>
            <w:tcW w:type="dxa" w:w="7488"/>
            <w:shd w:fill="EAF0EC"/>
          </w:tcPr>
          <w:p>
            <w:pPr>
              <w:spacing w:after="80" w:before="60"/>
            </w:pPr>
            <w:r>
              <w:rPr>
                <w:b/>
                <w:sz w:val="19"/>
              </w:rPr>
              <w:t>Expected result</w:t>
            </w:r>
          </w:p>
        </w:tc>
      </w:tr>
      <w:tr>
        <w:trPr>
          <w:cantSplit/>
        </w:trPr>
        <w:tc>
          <w:tcPr>
            <w:tcW w:type="dxa" w:w="2736"/>
          </w:tcPr>
          <w:p>
            <w:pPr>
              <w:spacing w:after="80" w:before="60"/>
            </w:pPr>
            <w:r>
              <w:rPr>
                <w:sz w:val="19"/>
              </w:rPr>
              <w:t>Bluebird upload with Lina's date blank.</w:t>
            </w:r>
          </w:p>
        </w:tc>
        <w:tc>
          <w:tcPr>
            <w:tcW w:type="dxa" w:w="7488"/>
          </w:tcPr>
          <w:p>
            <w:pPr>
              <w:spacing w:after="80" w:before="60"/>
            </w:pPr>
            <w:r>
              <w:rPr>
                <w:sz w:val="19"/>
              </w:rPr>
              <w:t>S1 is preserved; ask for funding date; do not calculate or record a conversion.</w:t>
            </w:r>
          </w:p>
        </w:tc>
      </w:tr>
      <w:tr>
        <w:trPr>
          <w:cantSplit/>
        </w:trPr>
        <w:tc>
          <w:tcPr>
            <w:tcW w:type="dxa" w:w="2736"/>
          </w:tcPr>
          <w:p>
            <w:pPr>
              <w:spacing w:after="80" w:before="60"/>
            </w:pPr>
            <w:r>
              <w:rPr>
                <w:sz w:val="19"/>
              </w:rPr>
              <w:t>Confirmed S1 funding date after the relevant close.</w:t>
            </w:r>
          </w:p>
        </w:tc>
        <w:tc>
          <w:tcPr>
            <w:tcW w:type="dxa" w:w="7488"/>
          </w:tcPr>
          <w:p>
            <w:pPr>
              <w:spacing w:after="80" w:before="60"/>
            </w:pPr>
            <w:r>
              <w:rPr>
                <w:sz w:val="19"/>
              </w:rPr>
              <w:t>No missed-conversion finding from that close; retain S1 and examine later relevant events.</w:t>
            </w:r>
          </w:p>
        </w:tc>
      </w:tr>
      <w:tr>
        <w:trPr>
          <w:cantSplit/>
        </w:trPr>
        <w:tc>
          <w:tcPr>
            <w:tcW w:type="dxa" w:w="2736"/>
          </w:tcPr>
          <w:p>
            <w:pPr>
              <w:spacing w:after="80" w:before="60"/>
            </w:pPr>
            <w:r>
              <w:rPr>
                <w:sz w:val="19"/>
              </w:rPr>
              <w:t>Confirmed example dates and terms; resulting lot already exists.</w:t>
            </w:r>
          </w:p>
        </w:tc>
        <w:tc>
          <w:tcPr>
            <w:tcW w:type="dxa" w:w="7488"/>
          </w:tcPr>
          <w:p>
            <w:pPr>
              <w:spacing w:after="80" w:before="60"/>
            </w:pPr>
            <w:r>
              <w:rPr>
                <w:sz w:val="19"/>
              </w:rPr>
              <w:t>Find the lot and reconcile or link records; no new shares.</w:t>
            </w:r>
          </w:p>
        </w:tc>
      </w:tr>
      <w:tr>
        <w:trPr>
          <w:cantSplit/>
        </w:trPr>
        <w:tc>
          <w:tcPr>
            <w:tcW w:type="dxa" w:w="2736"/>
          </w:tcPr>
          <w:p>
            <w:pPr>
              <w:spacing w:after="80" w:before="60"/>
            </w:pPr>
            <w:r>
              <w:rPr>
                <w:sz w:val="19"/>
              </w:rPr>
              <w:t>Confirmed example with recording missing.</w:t>
            </w:r>
          </w:p>
        </w:tc>
        <w:tc>
          <w:tcPr>
            <w:tcW w:type="dxa" w:w="7488"/>
          </w:tcPr>
          <w:p>
            <w:pPr>
              <w:spacing w:after="80" w:before="60"/>
            </w:pPr>
            <w:r>
              <w:rPr>
                <w:sz w:val="19"/>
              </w:rPr>
              <w:t>Backend returns 1M conversion shares, 12M total issued shares and the chapter 6 ownership results.</w:t>
            </w:r>
          </w:p>
        </w:tc>
      </w:tr>
      <w:tr>
        <w:trPr>
          <w:cantSplit/>
        </w:trPr>
        <w:tc>
          <w:tcPr>
            <w:tcW w:type="dxa" w:w="2736"/>
          </w:tcPr>
          <w:p>
            <w:pPr>
              <w:spacing w:after="80" w:before="60"/>
            </w:pPr>
            <w:r>
              <w:rPr>
                <w:sz w:val="19"/>
              </w:rPr>
              <w:t>Sale cash of $6M under chapter 7 assumptions.</w:t>
            </w:r>
          </w:p>
        </w:tc>
        <w:tc>
          <w:tcPr>
            <w:tcW w:type="dxa" w:w="7488"/>
          </w:tcPr>
          <w:p>
            <w:pPr>
              <w:spacing w:after="80" w:before="60"/>
            </w:pPr>
            <w:r>
              <w:rPr>
                <w:sz w:val="19"/>
              </w:rPr>
              <w:t>Preferred group receives $4M and common $2M under the permitted retention election.</w:t>
            </w:r>
          </w:p>
        </w:tc>
      </w:tr>
      <w:tr>
        <w:trPr>
          <w:cantSplit/>
        </w:trPr>
        <w:tc>
          <w:tcPr>
            <w:tcW w:type="dxa" w:w="2736"/>
          </w:tcPr>
          <w:p>
            <w:pPr>
              <w:spacing w:after="80" w:before="60"/>
            </w:pPr>
            <w:r>
              <w:rPr>
                <w:sz w:val="19"/>
              </w:rPr>
              <w:t>Sale cash of $18M under those assumptions.</w:t>
            </w:r>
          </w:p>
        </w:tc>
        <w:tc>
          <w:tcPr>
            <w:tcW w:type="dxa" w:w="7488"/>
          </w:tcPr>
          <w:p>
            <w:pPr>
              <w:spacing w:after="80" w:before="60"/>
            </w:pPr>
            <w:r>
              <w:rPr>
                <w:sz w:val="19"/>
              </w:rPr>
              <w:t>Preferred group receives $6M and common $12M under the permitted conversion election.</w:t>
            </w:r>
          </w:p>
        </w:tc>
      </w:tr>
      <w:tr>
        <w:trPr>
          <w:cantSplit/>
        </w:trPr>
        <w:tc>
          <w:tcPr>
            <w:tcW w:type="dxa" w:w="2736"/>
          </w:tcPr>
          <w:p>
            <w:pPr>
              <w:spacing w:after="80" w:before="60"/>
            </w:pPr>
            <w:r>
              <w:rPr>
                <w:sz w:val="19"/>
              </w:rPr>
              <w:t>Same commit request is repeated.</w:t>
            </w:r>
          </w:p>
        </w:tc>
        <w:tc>
          <w:tcPr>
            <w:tcW w:type="dxa" w:w="7488"/>
          </w:tcPr>
          <w:p>
            <w:pPr>
              <w:spacing w:after="80" w:before="60"/>
            </w:pPr>
            <w:r>
              <w:rPr>
                <w:sz w:val="19"/>
              </w:rPr>
              <w:t>Exactly one financial event and resulting lot; return the original authorized receipt.</w:t>
            </w:r>
          </w:p>
        </w:tc>
      </w:tr>
      <w:tr>
        <w:trPr>
          <w:cantSplit/>
        </w:trPr>
        <w:tc>
          <w:tcPr>
            <w:tcW w:type="dxa" w:w="2736"/>
          </w:tcPr>
          <w:p>
            <w:pPr>
              <w:spacing w:after="80" w:before="60"/>
            </w:pPr>
            <w:r>
              <w:rPr>
                <w:sz w:val="19"/>
              </w:rPr>
              <w:t>Another change occurs after a preview.</w:t>
            </w:r>
          </w:p>
        </w:tc>
        <w:tc>
          <w:tcPr>
            <w:tcW w:type="dxa" w:w="7488"/>
          </w:tcPr>
          <w:p>
            <w:pPr>
              <w:spacing w:after="80" w:before="60"/>
            </w:pPr>
            <w:r>
              <w:rPr>
                <w:sz w:val="19"/>
              </w:rPr>
              <w:t>Reject the uncommitted stale preview and rebuild it before required reapproval.</w:t>
            </w:r>
          </w:p>
        </w:tc>
      </w:tr>
      <w:tr>
        <w:trPr>
          <w:cantSplit/>
        </w:trPr>
        <w:tc>
          <w:tcPr>
            <w:tcW w:type="dxa" w:w="2736"/>
          </w:tcPr>
          <w:p>
            <w:pPr>
              <w:spacing w:after="80" w:before="60"/>
            </w:pPr>
            <w:r>
              <w:rPr>
                <w:sz w:val="19"/>
              </w:rPr>
              <w:t>A funding date is confirmed after a report was saved.</w:t>
            </w:r>
          </w:p>
        </w:tc>
        <w:tc>
          <w:tcPr>
            <w:tcW w:type="dxa" w:w="7488"/>
          </w:tcPr>
          <w:p>
            <w:pPr>
              <w:spacing w:after="80" w:before="60"/>
            </w:pPr>
            <w:r>
              <w:rPr>
                <w:sz w:val="19"/>
              </w:rPr>
              <w:t>The original report remains reproducible; a new historical view uses the later knowledge.</w:t>
            </w:r>
          </w:p>
        </w:tc>
      </w:tr>
      <w:tr>
        <w:trPr>
          <w:cantSplit/>
        </w:trPr>
        <w:tc>
          <w:tcPr>
            <w:tcW w:type="dxa" w:w="2736"/>
          </w:tcPr>
          <w:p>
            <w:pPr>
              <w:spacing w:after="80" w:before="60"/>
            </w:pPr>
            <w:r>
              <w:rPr>
                <w:sz w:val="19"/>
              </w:rPr>
              <w:t>Graph is one change behind the backend.</w:t>
            </w:r>
          </w:p>
        </w:tc>
        <w:tc>
          <w:tcPr>
            <w:tcW w:type="dxa" w:w="7488"/>
          </w:tcPr>
          <w:p>
            <w:pPr>
              <w:spacing w:after="80" w:before="60"/>
            </w:pPr>
            <w:r>
              <w:rPr>
                <w:sz w:val="19"/>
              </w:rPr>
              <w:t>Explicit updating response or wait; no analysis using silently mixed versions.</w:t>
            </w:r>
          </w:p>
        </w:tc>
      </w:tr>
      <w:tr>
        <w:trPr>
          <w:cantSplit/>
        </w:trPr>
        <w:tc>
          <w:tcPr>
            <w:tcW w:type="dxa" w:w="2736"/>
          </w:tcPr>
          <w:p>
            <w:pPr>
              <w:spacing w:after="80" w:before="60"/>
            </w:pPr>
            <w:r>
              <w:rPr>
                <w:sz w:val="19"/>
              </w:rPr>
              <w:t>Conflicting rights or unsupported contract features.</w:t>
            </w:r>
          </w:p>
        </w:tc>
        <w:tc>
          <w:tcPr>
            <w:tcW w:type="dxa" w:w="7488"/>
          </w:tcPr>
          <w:p>
            <w:pPr>
              <w:spacing w:after="80" w:before="60"/>
            </w:pPr>
            <w:r>
              <w:rPr>
                <w:sz w:val="19"/>
              </w:rPr>
              <w:t>Return conflict or unsupported status; no guessed payout.</w:t>
            </w:r>
          </w:p>
        </w:tc>
      </w:tr>
      <w:tr>
        <w:trPr>
          <w:cantSplit/>
        </w:trPr>
        <w:tc>
          <w:tcPr>
            <w:tcW w:type="dxa" w:w="2736"/>
          </w:tcPr>
          <w:p>
            <w:pPr>
              <w:spacing w:after="80" w:before="60"/>
            </w:pPr>
            <w:r>
              <w:rPr>
                <w:sz w:val="19"/>
              </w:rPr>
              <w:t>Limited investor or wrong-company caller.</w:t>
            </w:r>
          </w:p>
        </w:tc>
        <w:tc>
          <w:tcPr>
            <w:tcW w:type="dxa" w:w="7488"/>
          </w:tcPr>
          <w:p>
            <w:pPr>
              <w:spacing w:after="80" w:before="60"/>
            </w:pPr>
            <w:r>
              <w:rPr>
                <w:sz w:val="19"/>
              </w:rPr>
              <w:t>No unauthorized evidence, hidden investor facts or financial mutation.</w:t>
            </w:r>
          </w:p>
        </w:tc>
      </w:tr>
    </w:tbl>
    <w:p>
      <w:pPr>
        <w:spacing w:after="0"/>
      </w:pPr>
    </w:p>
    <w:p>
      <w:pPr>
        <w:pStyle w:val="Heading2"/>
      </w:pPr>
      <w:r>
        <w:t>What the existing automated tests prove</w:t>
      </w:r>
    </w:p>
    <w:p>
      <w:r>
        <w:t>The starter package has 17 passing checks for selected graph constraints and the context response format. They do not implement or test the complete Bluebird workflow, financial backend, graph synchronization or permissions. The table above defines additional integration work and tests the development teams must build.</w:t>
      </w:r>
    </w:p>
    <w:p>
      <w:r>
        <w:t>Measure whether the agent selected the right facts, asked the right questions and avoided unsupported actions. Financial expected values come from independently reviewed examples, not from another language model. Compare results with and without graph-based context to establish whether OCE improves accuracy.</w:t>
      </w:r>
    </w:p>
    <w:p>
      <w:r>
        <w:br w:type="page"/>
      </w:r>
    </w:p>
    <w:p>
      <w:pPr>
        <w:pStyle w:val="Heading1"/>
      </w:pPr>
      <w:r>
        <w:t>26 Glossary standards and where to begin in the package</w:t>
      </w:r>
    </w:p>
    <w:tbl>
      <w:tblPr>
        <w:tblW w:type="auto" w:w="0"/>
        <w:tblLayout w:type="fixed"/>
        <w:tblLook w:firstColumn="1" w:firstRow="1" w:lastColumn="0" w:lastRow="0" w:noHBand="0" w:noVBand="1" w:val="04A0"/>
      </w:tblPr>
      <w:tblGrid>
        <w:gridCol w:w="2736"/>
        <w:gridCol w:w="7488"/>
      </w:tblGrid>
      <w:tr>
        <w:trPr>
          <w:cantSplit/>
          <w:tblHeader/>
        </w:trPr>
        <w:tc>
          <w:tcPr>
            <w:tcW w:type="dxa" w:w="2736"/>
            <w:shd w:fill="EAF0EC"/>
          </w:tcPr>
          <w:p>
            <w:pPr>
              <w:spacing w:after="80" w:before="60"/>
            </w:pPr>
            <w:r>
              <w:rPr>
                <w:b/>
                <w:sz w:val="19"/>
              </w:rPr>
              <w:t>Term</w:t>
            </w:r>
          </w:p>
        </w:tc>
        <w:tc>
          <w:tcPr>
            <w:tcW w:type="dxa" w:w="7488"/>
            <w:shd w:fill="EAF0EC"/>
          </w:tcPr>
          <w:p>
            <w:pPr>
              <w:spacing w:after="80" w:before="60"/>
            </w:pPr>
            <w:r>
              <w:rPr>
                <w:b/>
                <w:sz w:val="19"/>
              </w:rPr>
              <w:t>Meaning</w:t>
            </w:r>
          </w:p>
        </w:tc>
      </w:tr>
      <w:tr>
        <w:trPr>
          <w:cantSplit/>
        </w:trPr>
        <w:tc>
          <w:tcPr>
            <w:tcW w:type="dxa" w:w="2736"/>
          </w:tcPr>
          <w:p>
            <w:pPr>
              <w:spacing w:after="80" w:before="60"/>
            </w:pPr>
            <w:r>
              <w:rPr>
                <w:sz w:val="19"/>
              </w:rPr>
              <w:t>Conversion trigger</w:t>
            </w:r>
          </w:p>
        </w:tc>
        <w:tc>
          <w:tcPr>
            <w:tcW w:type="dxa" w:w="7488"/>
          </w:tcPr>
          <w:p>
            <w:pPr>
              <w:spacing w:after="80" w:before="60"/>
            </w:pPr>
            <w:r>
              <w:rPr>
                <w:sz w:val="19"/>
              </w:rPr>
              <w:t>The event and conditions that activate a conversion right. It does not prove that the conversion was recorded.</w:t>
            </w:r>
          </w:p>
        </w:tc>
      </w:tr>
      <w:tr>
        <w:trPr>
          <w:cantSplit/>
        </w:trPr>
        <w:tc>
          <w:tcPr>
            <w:tcW w:type="dxa" w:w="2736"/>
          </w:tcPr>
          <w:p>
            <w:pPr>
              <w:spacing w:after="80" w:before="60"/>
            </w:pPr>
            <w:r>
              <w:rPr>
                <w:sz w:val="19"/>
              </w:rPr>
              <w:t>Valuation cap</w:t>
            </w:r>
          </w:p>
        </w:tc>
        <w:tc>
          <w:tcPr>
            <w:tcW w:type="dxa" w:w="7488"/>
          </w:tcPr>
          <w:p>
            <w:pPr>
              <w:spacing w:after="80" w:before="60"/>
            </w:pPr>
            <w:r>
              <w:rPr>
                <w:sz w:val="19"/>
              </w:rPr>
              <w:t>A contractual value used in defined conversion pricing. It is not a universal share price or guaranteed ownership percentage.</w:t>
            </w:r>
          </w:p>
        </w:tc>
      </w:tr>
      <w:tr>
        <w:trPr>
          <w:cantSplit/>
        </w:trPr>
        <w:tc>
          <w:tcPr>
            <w:tcW w:type="dxa" w:w="2736"/>
          </w:tcPr>
          <w:p>
            <w:pPr>
              <w:spacing w:after="80" w:before="60"/>
            </w:pPr>
            <w:r>
              <w:rPr>
                <w:sz w:val="19"/>
              </w:rPr>
              <w:t>Discount</w:t>
            </w:r>
          </w:p>
        </w:tc>
        <w:tc>
          <w:tcPr>
            <w:tcW w:type="dxa" w:w="7488"/>
          </w:tcPr>
          <w:p>
            <w:pPr>
              <w:spacing w:after="80" w:before="60"/>
            </w:pPr>
            <w:r>
              <w:rPr>
                <w:sz w:val="19"/>
              </w:rPr>
              <w:t>A contract-defined adjustment to conversion pricing; store a percentage separately from a price multiplier.</w:t>
            </w:r>
          </w:p>
        </w:tc>
      </w:tr>
      <w:tr>
        <w:trPr>
          <w:cantSplit/>
        </w:trPr>
        <w:tc>
          <w:tcPr>
            <w:tcW w:type="dxa" w:w="2736"/>
          </w:tcPr>
          <w:p>
            <w:pPr>
              <w:spacing w:after="80" w:before="60"/>
            </w:pPr>
            <w:r>
              <w:rPr>
                <w:sz w:val="19"/>
              </w:rPr>
              <w:t>Pro rata right</w:t>
            </w:r>
          </w:p>
        </w:tc>
        <w:tc>
          <w:tcPr>
            <w:tcW w:type="dxa" w:w="7488"/>
          </w:tcPr>
          <w:p>
            <w:pPr>
              <w:spacing w:after="80" w:before="60"/>
            </w:pPr>
            <w:r>
              <w:rPr>
                <w:sz w:val="19"/>
              </w:rPr>
              <w:t>A contractual right to participate in financing on specified terms. It does not mean the holder actually invested.</w:t>
            </w:r>
          </w:p>
        </w:tc>
      </w:tr>
      <w:tr>
        <w:trPr>
          <w:cantSplit/>
        </w:trPr>
        <w:tc>
          <w:tcPr>
            <w:tcW w:type="dxa" w:w="2736"/>
          </w:tcPr>
          <w:p>
            <w:pPr>
              <w:spacing w:after="80" w:before="60"/>
            </w:pPr>
            <w:r>
              <w:rPr>
                <w:sz w:val="19"/>
              </w:rPr>
              <w:t>MFN</w:t>
            </w:r>
          </w:p>
        </w:tc>
        <w:tc>
          <w:tcPr>
            <w:tcW w:type="dxa" w:w="7488"/>
          </w:tcPr>
          <w:p>
            <w:pPr>
              <w:spacing w:after="80" w:before="60"/>
            </w:pPr>
            <w:r>
              <w:rPr>
                <w:sz w:val="19"/>
              </w:rPr>
              <w:t>Most favored nation provision; adoption of later terms depends on the actual notice, election and amendment rules.</w:t>
            </w:r>
          </w:p>
        </w:tc>
      </w:tr>
      <w:tr>
        <w:trPr>
          <w:cantSplit/>
        </w:trPr>
        <w:tc>
          <w:tcPr>
            <w:tcW w:type="dxa" w:w="2736"/>
          </w:tcPr>
          <w:p>
            <w:pPr>
              <w:spacing w:after="80" w:before="60"/>
            </w:pPr>
            <w:r>
              <w:rPr>
                <w:sz w:val="19"/>
              </w:rPr>
              <w:t>Ontology and graph</w:t>
            </w:r>
          </w:p>
        </w:tc>
        <w:tc>
          <w:tcPr>
            <w:tcW w:type="dxa" w:w="7488"/>
          </w:tcPr>
          <w:p>
            <w:pPr>
              <w:spacing w:after="80" w:before="60"/>
            </w:pPr>
            <w:r>
              <w:rPr>
                <w:sz w:val="19"/>
              </w:rPr>
              <w:t>The shared dictionary and the linked company records respectively.</w:t>
            </w:r>
          </w:p>
        </w:tc>
      </w:tr>
      <w:tr>
        <w:trPr>
          <w:cantSplit/>
        </w:trPr>
        <w:tc>
          <w:tcPr>
            <w:tcW w:type="dxa" w:w="2736"/>
          </w:tcPr>
          <w:p>
            <w:pPr>
              <w:spacing w:after="80" w:before="60"/>
            </w:pPr>
            <w:r>
              <w:rPr>
                <w:sz w:val="19"/>
              </w:rPr>
              <w:t>Fact or assertion</w:t>
            </w:r>
          </w:p>
        </w:tc>
        <w:tc>
          <w:tcPr>
            <w:tcW w:type="dxa" w:w="7488"/>
          </w:tcPr>
          <w:p>
            <w:pPr>
              <w:spacing w:after="80" w:before="60"/>
            </w:pPr>
            <w:r>
              <w:rPr>
                <w:sz w:val="19"/>
              </w:rPr>
              <w:t>A field value or explicit missing state, with source, dates and confirmation.</w:t>
            </w:r>
          </w:p>
        </w:tc>
      </w:tr>
      <w:tr>
        <w:trPr>
          <w:cantSplit/>
        </w:trPr>
        <w:tc>
          <w:tcPr>
            <w:tcW w:type="dxa" w:w="2736"/>
          </w:tcPr>
          <w:p>
            <w:pPr>
              <w:spacing w:after="80" w:before="60"/>
            </w:pPr>
            <w:r>
              <w:rPr>
                <w:sz w:val="19"/>
              </w:rPr>
              <w:t>Projection and manifest</w:t>
            </w:r>
          </w:p>
        </w:tc>
        <w:tc>
          <w:tcPr>
            <w:tcW w:type="dxa" w:w="7488"/>
          </w:tcPr>
          <w:p>
            <w:pPr>
              <w:spacing w:after="80" w:before="60"/>
            </w:pPr>
            <w:r>
              <w:rPr>
                <w:sz w:val="19"/>
              </w:rPr>
              <w:t>The graph copy of approved records and its saved completeness/version marker.</w:t>
            </w:r>
          </w:p>
        </w:tc>
      </w:tr>
      <w:tr>
        <w:trPr>
          <w:cantSplit/>
        </w:trPr>
        <w:tc>
          <w:tcPr>
            <w:tcW w:type="dxa" w:w="2736"/>
          </w:tcPr>
          <w:p>
            <w:pPr>
              <w:spacing w:after="80" w:before="60"/>
            </w:pPr>
            <w:r>
              <w:rPr>
                <w:sz w:val="19"/>
              </w:rPr>
              <w:t>Context compiler</w:t>
            </w:r>
          </w:p>
        </w:tc>
        <w:tc>
          <w:tcPr>
            <w:tcW w:type="dxa" w:w="7488"/>
          </w:tcPr>
          <w:p>
            <w:pPr>
              <w:spacing w:after="80" w:before="60"/>
            </w:pPr>
            <w:r>
              <w:rPr>
                <w:sz w:val="19"/>
              </w:rPr>
              <w:t>The OCE code that selects and checks the facts required for a task.</w:t>
            </w:r>
          </w:p>
        </w:tc>
      </w:tr>
      <w:tr>
        <w:trPr>
          <w:cantSplit/>
        </w:trPr>
        <w:tc>
          <w:tcPr>
            <w:tcW w:type="dxa" w:w="2736"/>
          </w:tcPr>
          <w:p>
            <w:pPr>
              <w:spacing w:after="80" w:before="60"/>
            </w:pPr>
            <w:r>
              <w:rPr>
                <w:sz w:val="19"/>
              </w:rPr>
              <w:t>Dependency and stale</w:t>
            </w:r>
          </w:p>
        </w:tc>
        <w:tc>
          <w:tcPr>
            <w:tcW w:type="dxa" w:w="7488"/>
          </w:tcPr>
          <w:p>
            <w:pPr>
              <w:spacing w:after="80" w:before="60"/>
            </w:pPr>
            <w:r>
              <w:rPr>
                <w:sz w:val="19"/>
              </w:rPr>
              <w:t>What a result relied on, and whether it needs review after related information changes.</w:t>
            </w:r>
          </w:p>
        </w:tc>
      </w:tr>
    </w:tbl>
    <w:p>
      <w:pPr>
        <w:spacing w:after="0"/>
      </w:pPr>
    </w:p>
    <w:p>
      <w:pPr>
        <w:pStyle w:val="Heading2"/>
      </w:pPr>
      <w:r>
        <w:t>Start with the example before the ontology files</w:t>
      </w:r>
    </w:p>
    <w:p>
      <w:r>
        <w:t>Read START_HERE.txt and bluebird_walkthrough.json. Then inspect context.schema.json and its missing-input example. ontology.ttl contains the starter concept definitions in RDF Turtle, a text format for graph data. shapes.ttl contains selected SHACL validation rules. test_starter.py runs the 17 limited checks. The README explains installation and remaining implementation work. The technical_reference folder preserves the earlier detailed OCE design for use after this guide.</w:t>
      </w:r>
    </w:p>
    <w:p>
      <w:pPr>
        <w:pStyle w:val="Heading2"/>
      </w:pPr>
      <w:r>
        <w:t>Standards references for the OCE team</w:t>
      </w:r>
    </w:p>
    <w:p>
      <w:r>
        <w:t>[S1] Open Cap Format provides capitalization exchange schemas and transaction structures: https://github.com/Open-Cap-Table-Coalition/Open-Cap-Format-OCF. Map a reviewed release; do not assume all spreadsheets follow it. [S2] FIBO supplies broader financial ontology concepts: https://github.com/edmcouncil/fibo. Reuse selected concepts after review; full FIBO knowledge is not a prerequisite for the first workflow.</w:t>
      </w:r>
    </w:p>
    <w:p>
      <w:r>
        <w:t>[S3] SHACL graph validation: https://www.w3.org/TR/shacl/. [S4] OWL concepts and semantics: https://www.w3.org/TR/owl2-primer/. Pin the versions and files used in production. Domain financial formulas and additional instrument cases remain in the separate Capitalization Agent Backend Engineering Specification version 1.0.</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elan  |  Developer build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16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